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0CA6966E" w:rsidR="005A6E0C" w:rsidRPr="00F06D63" w:rsidRDefault="00E7138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Community and Services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6B9090D0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3F594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6.CG</w:t>
            </w:r>
            <w:r w:rsidR="00731A9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</w:t>
            </w:r>
            <w:r w:rsidR="003F594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055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Town Centre Working Group</w:t>
            </w: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5B0ED98E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</w:t>
            </w:r>
            <w:r w:rsidR="004E55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E7138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 March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2A4B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51CD8CB4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7138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CG</w:t>
            </w:r>
            <w:r w:rsidR="00C055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155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323954" w14:textId="599D43BC" w:rsidR="00E87FE6" w:rsidRPr="00F308A6" w:rsidRDefault="009B1AE5" w:rsidP="00765375">
      <w:pPr>
        <w:ind w:left="-284"/>
        <w:rPr>
          <w:rFonts w:ascii="Arial" w:hAnsi="Arial" w:cs="Arial"/>
          <w:b/>
          <w:bCs/>
          <w:sz w:val="24"/>
          <w:szCs w:val="24"/>
        </w:rPr>
      </w:pPr>
      <w:r w:rsidRPr="00F308A6">
        <w:rPr>
          <w:rFonts w:ascii="Arial" w:hAnsi="Arial" w:cs="Arial"/>
          <w:b/>
          <w:bCs/>
          <w:sz w:val="24"/>
          <w:szCs w:val="24"/>
        </w:rPr>
        <w:t xml:space="preserve">Town Centre Street Furniture Inspection </w:t>
      </w:r>
    </w:p>
    <w:p w14:paraId="058E4537" w14:textId="77777777" w:rsidR="009B1AE5" w:rsidRDefault="009B1AE5" w:rsidP="00E71388">
      <w:pPr>
        <w:rPr>
          <w:rFonts w:ascii="Arial" w:hAnsi="Arial" w:cs="Arial"/>
          <w:sz w:val="24"/>
          <w:szCs w:val="24"/>
        </w:rPr>
      </w:pPr>
    </w:p>
    <w:p w14:paraId="6F785069" w14:textId="70FB486F" w:rsidR="009B1AE5" w:rsidRDefault="009B1AE5" w:rsidP="00765375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Town Centre working party have completed a visual inspection of the street furniture in the town.  See attached document</w:t>
      </w:r>
      <w:r w:rsidR="00C0551B">
        <w:rPr>
          <w:rFonts w:ascii="Arial" w:hAnsi="Arial" w:cs="Arial"/>
          <w:sz w:val="24"/>
          <w:szCs w:val="24"/>
        </w:rPr>
        <w:t>.</w:t>
      </w:r>
    </w:p>
    <w:p w14:paraId="104A4F8C" w14:textId="2407DACB" w:rsidR="009B1AE5" w:rsidRPr="00C0551B" w:rsidRDefault="009B1AE5" w:rsidP="00C0551B">
      <w:pPr>
        <w:ind w:left="-284"/>
        <w:rPr>
          <w:rFonts w:ascii="Arial" w:hAnsi="Arial" w:cs="Arial"/>
          <w:sz w:val="24"/>
          <w:szCs w:val="24"/>
        </w:rPr>
      </w:pPr>
      <w:r w:rsidRPr="009B1AE5">
        <w:rPr>
          <w:rFonts w:ascii="Arial" w:hAnsi="Arial" w:cs="Arial"/>
          <w:sz w:val="24"/>
          <w:szCs w:val="24"/>
        </w:rPr>
        <w:t xml:space="preserve">The audit was undertaken to determine the works that </w:t>
      </w:r>
      <w:r w:rsidR="001F77D7">
        <w:rPr>
          <w:rFonts w:ascii="Arial" w:hAnsi="Arial" w:cs="Arial"/>
          <w:sz w:val="24"/>
          <w:szCs w:val="24"/>
        </w:rPr>
        <w:t>are</w:t>
      </w:r>
      <w:r w:rsidRPr="009B1AE5">
        <w:rPr>
          <w:rFonts w:ascii="Arial" w:hAnsi="Arial" w:cs="Arial"/>
          <w:sz w:val="24"/>
          <w:szCs w:val="24"/>
        </w:rPr>
        <w:t xml:space="preserve"> necessary to improve the appearance and suitability of our current Street furniture within the Town Centre. The </w:t>
      </w:r>
      <w:r w:rsidR="00765375">
        <w:rPr>
          <w:rFonts w:ascii="Arial" w:hAnsi="Arial" w:cs="Arial"/>
          <w:sz w:val="24"/>
          <w:szCs w:val="24"/>
        </w:rPr>
        <w:t>a</w:t>
      </w:r>
      <w:r w:rsidRPr="009B1AE5">
        <w:rPr>
          <w:rFonts w:ascii="Arial" w:hAnsi="Arial" w:cs="Arial"/>
          <w:sz w:val="24"/>
          <w:szCs w:val="24"/>
        </w:rPr>
        <w:t>udit include</w:t>
      </w:r>
      <w:r w:rsidR="001F77D7">
        <w:rPr>
          <w:rFonts w:ascii="Arial" w:hAnsi="Arial" w:cs="Arial"/>
          <w:sz w:val="24"/>
          <w:szCs w:val="24"/>
        </w:rPr>
        <w:t>d</w:t>
      </w:r>
      <w:r w:rsidRPr="009B1AE5">
        <w:rPr>
          <w:rFonts w:ascii="Arial" w:hAnsi="Arial" w:cs="Arial"/>
          <w:sz w:val="24"/>
          <w:szCs w:val="24"/>
        </w:rPr>
        <w:t xml:space="preserve"> </w:t>
      </w:r>
      <w:r w:rsidR="00765375">
        <w:rPr>
          <w:rFonts w:ascii="Arial" w:hAnsi="Arial" w:cs="Arial"/>
          <w:sz w:val="24"/>
          <w:szCs w:val="24"/>
        </w:rPr>
        <w:t>f</w:t>
      </w:r>
      <w:r w:rsidRPr="009B1AE5">
        <w:rPr>
          <w:rFonts w:ascii="Arial" w:hAnsi="Arial" w:cs="Arial"/>
          <w:sz w:val="24"/>
          <w:szCs w:val="24"/>
        </w:rPr>
        <w:t xml:space="preserve">ingerposts, waste bins, bollard, </w:t>
      </w:r>
      <w:proofErr w:type="gramStart"/>
      <w:r w:rsidRPr="009B1AE5">
        <w:rPr>
          <w:rFonts w:ascii="Arial" w:hAnsi="Arial" w:cs="Arial"/>
          <w:sz w:val="24"/>
          <w:szCs w:val="24"/>
        </w:rPr>
        <w:t>seating</w:t>
      </w:r>
      <w:proofErr w:type="gramEnd"/>
      <w:r w:rsidRPr="009B1AE5">
        <w:rPr>
          <w:rFonts w:ascii="Arial" w:hAnsi="Arial" w:cs="Arial"/>
          <w:sz w:val="24"/>
          <w:szCs w:val="24"/>
        </w:rPr>
        <w:t xml:space="preserve"> and information boards.</w:t>
      </w:r>
    </w:p>
    <w:p w14:paraId="578EAD7E" w14:textId="6CBFAC85" w:rsidR="00C93A45" w:rsidRPr="001F77D7" w:rsidRDefault="009B1AE5" w:rsidP="00765375">
      <w:pPr>
        <w:ind w:left="-284"/>
        <w:rPr>
          <w:rFonts w:ascii="Arial" w:hAnsi="Arial" w:cs="Arial"/>
          <w:b/>
          <w:bCs/>
          <w:sz w:val="24"/>
          <w:szCs w:val="24"/>
        </w:rPr>
      </w:pPr>
      <w:r w:rsidRPr="001F77D7">
        <w:rPr>
          <w:rFonts w:ascii="Arial" w:hAnsi="Arial" w:cs="Arial"/>
          <w:b/>
          <w:bCs/>
          <w:sz w:val="24"/>
          <w:szCs w:val="24"/>
        </w:rPr>
        <w:t>Recommendation</w:t>
      </w:r>
    </w:p>
    <w:p w14:paraId="6E888A87" w14:textId="2035DE30" w:rsidR="009B1AE5" w:rsidRDefault="009B1AE5" w:rsidP="00765375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replacing out of date and broken </w:t>
      </w:r>
      <w:r w:rsidR="005F3741">
        <w:rPr>
          <w:rFonts w:ascii="Arial" w:hAnsi="Arial" w:cs="Arial"/>
          <w:sz w:val="24"/>
          <w:szCs w:val="24"/>
        </w:rPr>
        <w:t>arms</w:t>
      </w:r>
      <w:r>
        <w:rPr>
          <w:rFonts w:ascii="Arial" w:hAnsi="Arial" w:cs="Arial"/>
          <w:sz w:val="24"/>
          <w:szCs w:val="24"/>
        </w:rPr>
        <w:t xml:space="preserve"> on the fingerpost signs as set out </w:t>
      </w:r>
      <w:r w:rsidR="005F374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 w:rsidR="00C0551B">
        <w:rPr>
          <w:rFonts w:ascii="Arial" w:hAnsi="Arial" w:cs="Arial"/>
          <w:sz w:val="24"/>
          <w:szCs w:val="24"/>
        </w:rPr>
        <w:t>the report.</w:t>
      </w:r>
    </w:p>
    <w:p w14:paraId="49FFEC92" w14:textId="07367A77" w:rsidR="009B1AE5" w:rsidRDefault="009B1AE5" w:rsidP="00765375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765375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 total of</w:t>
      </w:r>
      <w:r w:rsidR="00765375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single,</w:t>
      </w:r>
      <w:r w:rsidR="00765375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double and </w:t>
      </w:r>
      <w:r w:rsidR="00765375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triple </w:t>
      </w:r>
      <w:r w:rsidR="005F3741">
        <w:rPr>
          <w:rFonts w:ascii="Arial" w:hAnsi="Arial" w:cs="Arial"/>
          <w:sz w:val="24"/>
          <w:szCs w:val="24"/>
        </w:rPr>
        <w:t>arms proposed for</w:t>
      </w:r>
      <w:r>
        <w:rPr>
          <w:rFonts w:ascii="Arial" w:hAnsi="Arial" w:cs="Arial"/>
          <w:sz w:val="24"/>
          <w:szCs w:val="24"/>
        </w:rPr>
        <w:t xml:space="preserve"> replacement</w:t>
      </w:r>
      <w:r w:rsidR="005F3741">
        <w:rPr>
          <w:rFonts w:ascii="Arial" w:hAnsi="Arial" w:cs="Arial"/>
          <w:sz w:val="24"/>
          <w:szCs w:val="24"/>
        </w:rPr>
        <w:t>.</w:t>
      </w:r>
    </w:p>
    <w:p w14:paraId="6A02A15C" w14:textId="77777777" w:rsidR="009B1AE5" w:rsidRDefault="009B1AE5" w:rsidP="00765375">
      <w:pPr>
        <w:rPr>
          <w:rFonts w:ascii="Arial" w:hAnsi="Arial" w:cs="Arial"/>
          <w:sz w:val="24"/>
          <w:szCs w:val="24"/>
        </w:rPr>
      </w:pPr>
    </w:p>
    <w:p w14:paraId="0B7B325F" w14:textId="00D1948F" w:rsidR="009B1AE5" w:rsidRPr="00E917AF" w:rsidRDefault="009B1AE5" w:rsidP="00E917AF">
      <w:pPr>
        <w:ind w:left="-284"/>
        <w:rPr>
          <w:rFonts w:ascii="Arial" w:hAnsi="Arial" w:cs="Arial"/>
          <w:b/>
          <w:bCs/>
          <w:sz w:val="24"/>
          <w:szCs w:val="24"/>
        </w:rPr>
      </w:pPr>
      <w:r w:rsidRPr="00765375">
        <w:rPr>
          <w:rFonts w:ascii="Arial" w:hAnsi="Arial" w:cs="Arial"/>
          <w:b/>
          <w:bCs/>
          <w:sz w:val="24"/>
          <w:szCs w:val="24"/>
        </w:rPr>
        <w:t>Quote</w:t>
      </w:r>
      <w:r w:rsidR="00E63E67">
        <w:rPr>
          <w:rFonts w:ascii="Arial" w:hAnsi="Arial" w:cs="Arial"/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67"/>
        <w:gridCol w:w="1225"/>
        <w:gridCol w:w="1264"/>
        <w:gridCol w:w="1404"/>
        <w:gridCol w:w="1378"/>
        <w:gridCol w:w="1391"/>
        <w:gridCol w:w="1676"/>
      </w:tblGrid>
      <w:tr w:rsidR="00BF453F" w14:paraId="5D47E937" w14:textId="77777777" w:rsidTr="00BF453F">
        <w:tc>
          <w:tcPr>
            <w:tcW w:w="967" w:type="dxa"/>
          </w:tcPr>
          <w:p w14:paraId="2633561F" w14:textId="5EAB3CDE" w:rsidR="00BF453F" w:rsidRPr="00BE0FD6" w:rsidRDefault="00BF453F" w:rsidP="00BE0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FD6">
              <w:rPr>
                <w:rFonts w:ascii="Arial" w:hAnsi="Arial" w:cs="Arial"/>
                <w:b/>
                <w:bCs/>
                <w:sz w:val="24"/>
                <w:szCs w:val="24"/>
              </w:rPr>
              <w:t>Quote</w:t>
            </w:r>
          </w:p>
        </w:tc>
        <w:tc>
          <w:tcPr>
            <w:tcW w:w="1225" w:type="dxa"/>
          </w:tcPr>
          <w:p w14:paraId="6F1288CA" w14:textId="450249AE" w:rsidR="00BF453F" w:rsidRPr="00BE0FD6" w:rsidRDefault="00BF453F" w:rsidP="00BE0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Single arm</w:t>
            </w:r>
          </w:p>
        </w:tc>
        <w:tc>
          <w:tcPr>
            <w:tcW w:w="1264" w:type="dxa"/>
          </w:tcPr>
          <w:p w14:paraId="0EE61783" w14:textId="77777777" w:rsidR="00BF453F" w:rsidRDefault="00BF453F" w:rsidP="00BE0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Double</w:t>
            </w:r>
          </w:p>
          <w:p w14:paraId="08156416" w14:textId="1DA5AC7E" w:rsidR="00BF453F" w:rsidRPr="00BE0FD6" w:rsidRDefault="00BF453F" w:rsidP="00BE0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arm</w:t>
            </w:r>
          </w:p>
        </w:tc>
        <w:tc>
          <w:tcPr>
            <w:tcW w:w="1404" w:type="dxa"/>
          </w:tcPr>
          <w:p w14:paraId="3B697EFC" w14:textId="77777777" w:rsidR="00BF453F" w:rsidRDefault="00BF453F" w:rsidP="00BE0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Triple</w:t>
            </w:r>
          </w:p>
          <w:p w14:paraId="705D5F22" w14:textId="57E5E7C9" w:rsidR="00BF453F" w:rsidRPr="00BE0FD6" w:rsidRDefault="00BF453F" w:rsidP="00BE0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arm</w:t>
            </w:r>
          </w:p>
        </w:tc>
        <w:tc>
          <w:tcPr>
            <w:tcW w:w="1378" w:type="dxa"/>
          </w:tcPr>
          <w:p w14:paraId="23C00DA8" w14:textId="1F9AB09D" w:rsidR="00BF453F" w:rsidRDefault="00BF453F" w:rsidP="00BE0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1391" w:type="dxa"/>
          </w:tcPr>
          <w:p w14:paraId="5C9084E5" w14:textId="0A70C847" w:rsidR="00BF453F" w:rsidRPr="00BE0FD6" w:rsidRDefault="00BF453F" w:rsidP="00BE0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Delivery</w:t>
            </w:r>
          </w:p>
        </w:tc>
        <w:tc>
          <w:tcPr>
            <w:tcW w:w="1676" w:type="dxa"/>
          </w:tcPr>
          <w:p w14:paraId="1582FD9B" w14:textId="7F28D56C" w:rsidR="00BF453F" w:rsidRPr="00BE0FD6" w:rsidRDefault="00BF453F" w:rsidP="00BE0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FD6">
              <w:rPr>
                <w:rFonts w:ascii="Arial" w:hAnsi="Arial" w:cs="Arial"/>
                <w:b/>
                <w:bCs/>
                <w:sz w:val="24"/>
                <w:szCs w:val="24"/>
              </w:rPr>
              <w:t>Total cost</w:t>
            </w:r>
          </w:p>
        </w:tc>
      </w:tr>
      <w:tr w:rsidR="00BF453F" w14:paraId="50AE8F55" w14:textId="77777777" w:rsidTr="00BF453F">
        <w:tc>
          <w:tcPr>
            <w:tcW w:w="967" w:type="dxa"/>
          </w:tcPr>
          <w:p w14:paraId="38BFD67D" w14:textId="19414277" w:rsidR="00BF453F" w:rsidRDefault="00B5785F" w:rsidP="00BE0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25" w:type="dxa"/>
          </w:tcPr>
          <w:p w14:paraId="760B2CA2" w14:textId="02CB813A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525.00</w:t>
            </w:r>
          </w:p>
        </w:tc>
        <w:tc>
          <w:tcPr>
            <w:tcW w:w="1264" w:type="dxa"/>
          </w:tcPr>
          <w:p w14:paraId="3868E43F" w14:textId="4F76483F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605.00</w:t>
            </w:r>
          </w:p>
        </w:tc>
        <w:tc>
          <w:tcPr>
            <w:tcW w:w="1404" w:type="dxa"/>
          </w:tcPr>
          <w:p w14:paraId="3A8706AB" w14:textId="288125E7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675.00</w:t>
            </w:r>
          </w:p>
        </w:tc>
        <w:tc>
          <w:tcPr>
            <w:tcW w:w="1378" w:type="dxa"/>
          </w:tcPr>
          <w:p w14:paraId="0B89FFE1" w14:textId="26DC034A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67.5</w:t>
            </w:r>
          </w:p>
        </w:tc>
        <w:tc>
          <w:tcPr>
            <w:tcW w:w="1391" w:type="dxa"/>
          </w:tcPr>
          <w:p w14:paraId="29020B84" w14:textId="099B0951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126.00</w:t>
            </w:r>
          </w:p>
        </w:tc>
        <w:tc>
          <w:tcPr>
            <w:tcW w:w="1676" w:type="dxa"/>
          </w:tcPr>
          <w:p w14:paraId="009AE0CB" w14:textId="5485B874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£8,331.00</w:t>
            </w:r>
          </w:p>
        </w:tc>
      </w:tr>
      <w:tr w:rsidR="00BF453F" w14:paraId="5660CE11" w14:textId="77777777" w:rsidTr="00BF453F">
        <w:tc>
          <w:tcPr>
            <w:tcW w:w="967" w:type="dxa"/>
          </w:tcPr>
          <w:p w14:paraId="7B13C3E4" w14:textId="3D748AC8" w:rsidR="00BF453F" w:rsidRDefault="00B5785F" w:rsidP="00BE0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25" w:type="dxa"/>
          </w:tcPr>
          <w:p w14:paraId="4085375B" w14:textId="51889BE6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337.5</w:t>
            </w:r>
            <w:r w:rsidR="00E917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14:paraId="140FC3BC" w14:textId="46BF5A52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406.25</w:t>
            </w:r>
          </w:p>
        </w:tc>
        <w:tc>
          <w:tcPr>
            <w:tcW w:w="1404" w:type="dxa"/>
          </w:tcPr>
          <w:p w14:paraId="48C1DA80" w14:textId="07451164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468.75</w:t>
            </w:r>
          </w:p>
        </w:tc>
        <w:tc>
          <w:tcPr>
            <w:tcW w:w="1378" w:type="dxa"/>
          </w:tcPr>
          <w:p w14:paraId="136423A5" w14:textId="454CE875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14:paraId="3366CE4E" w14:textId="703BE855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115.00</w:t>
            </w:r>
          </w:p>
        </w:tc>
        <w:tc>
          <w:tcPr>
            <w:tcW w:w="1676" w:type="dxa"/>
          </w:tcPr>
          <w:p w14:paraId="31BA627B" w14:textId="4E808478" w:rsidR="00BF453F" w:rsidRDefault="00BF453F" w:rsidP="00BE0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£5,515.00</w:t>
            </w:r>
          </w:p>
        </w:tc>
      </w:tr>
      <w:tr w:rsidR="00BF453F" w14:paraId="09D2BE4B" w14:textId="77777777" w:rsidTr="00BF453F">
        <w:tc>
          <w:tcPr>
            <w:tcW w:w="967" w:type="dxa"/>
          </w:tcPr>
          <w:p w14:paraId="216E21C7" w14:textId="1217A206" w:rsidR="00BF453F" w:rsidRDefault="00B5785F" w:rsidP="00BE0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25" w:type="dxa"/>
          </w:tcPr>
          <w:p w14:paraId="6CFF2902" w14:textId="03D21F47" w:rsidR="00BF453F" w:rsidRDefault="00BF453F" w:rsidP="00A92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242.00</w:t>
            </w:r>
          </w:p>
        </w:tc>
        <w:tc>
          <w:tcPr>
            <w:tcW w:w="1264" w:type="dxa"/>
          </w:tcPr>
          <w:p w14:paraId="6A1E5F7B" w14:textId="7E582994" w:rsidR="00BF453F" w:rsidRDefault="00BF453F" w:rsidP="00A92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296.00</w:t>
            </w:r>
          </w:p>
        </w:tc>
        <w:tc>
          <w:tcPr>
            <w:tcW w:w="1404" w:type="dxa"/>
          </w:tcPr>
          <w:p w14:paraId="1ACB1083" w14:textId="6649CAE8" w:rsidR="00BF453F" w:rsidRDefault="00BF453F" w:rsidP="00A92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360.00</w:t>
            </w:r>
          </w:p>
        </w:tc>
        <w:tc>
          <w:tcPr>
            <w:tcW w:w="1378" w:type="dxa"/>
          </w:tcPr>
          <w:p w14:paraId="48D5E000" w14:textId="5D65F973" w:rsidR="00BF453F" w:rsidRDefault="00E917AF" w:rsidP="00A92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14:paraId="08F18AEC" w14:textId="417EDD27" w:rsidR="00BF453F" w:rsidRDefault="00BF453F" w:rsidP="00A92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45.00</w:t>
            </w:r>
          </w:p>
        </w:tc>
        <w:tc>
          <w:tcPr>
            <w:tcW w:w="1676" w:type="dxa"/>
          </w:tcPr>
          <w:p w14:paraId="780F9BA3" w14:textId="1C6CF51D" w:rsidR="00BF453F" w:rsidRDefault="00BF453F" w:rsidP="00A92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£3,993.00</w:t>
            </w:r>
          </w:p>
        </w:tc>
      </w:tr>
      <w:tr w:rsidR="00BF453F" w14:paraId="7FF2C92E" w14:textId="77777777" w:rsidTr="00BF453F">
        <w:tc>
          <w:tcPr>
            <w:tcW w:w="967" w:type="dxa"/>
          </w:tcPr>
          <w:p w14:paraId="6B65C00B" w14:textId="7956814E" w:rsidR="00BF453F" w:rsidRDefault="00B5785F" w:rsidP="00BE0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25" w:type="dxa"/>
          </w:tcPr>
          <w:p w14:paraId="74B2AB96" w14:textId="6A4BDD78" w:rsidR="00BF453F" w:rsidRDefault="00BF453F" w:rsidP="009F0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325.00</w:t>
            </w:r>
          </w:p>
        </w:tc>
        <w:tc>
          <w:tcPr>
            <w:tcW w:w="1264" w:type="dxa"/>
          </w:tcPr>
          <w:p w14:paraId="3A601763" w14:textId="361A5805" w:rsidR="00BF453F" w:rsidRDefault="00E917AF" w:rsidP="009F0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  <w:r w:rsidR="005F374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404" w:type="dxa"/>
          </w:tcPr>
          <w:p w14:paraId="2A8B823B" w14:textId="35AE0EE3" w:rsidR="00BF453F" w:rsidRDefault="00BF453F" w:rsidP="009F0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  <w:r w:rsidR="005F374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378" w:type="dxa"/>
          </w:tcPr>
          <w:p w14:paraId="102C3E52" w14:textId="2C1F8D9D" w:rsidR="00BF453F" w:rsidRDefault="00E917AF" w:rsidP="009F0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14:paraId="6E811A4D" w14:textId="3FBC4B6E" w:rsidR="00BF453F" w:rsidRDefault="00E917AF" w:rsidP="009F0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94278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676" w:type="dxa"/>
          </w:tcPr>
          <w:p w14:paraId="4DF660F7" w14:textId="356B3FF3" w:rsidR="00BF453F" w:rsidRDefault="00BF453F" w:rsidP="009F0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£5,075.00</w:t>
            </w:r>
          </w:p>
        </w:tc>
      </w:tr>
    </w:tbl>
    <w:p w14:paraId="47ADA495" w14:textId="77777777" w:rsidR="009B1AE5" w:rsidRDefault="009B1AE5" w:rsidP="00E71388">
      <w:pPr>
        <w:rPr>
          <w:rFonts w:ascii="Arial" w:hAnsi="Arial" w:cs="Arial"/>
          <w:sz w:val="24"/>
          <w:szCs w:val="24"/>
        </w:rPr>
      </w:pPr>
    </w:p>
    <w:p w14:paraId="071C413B" w14:textId="77777777" w:rsidR="009B1AE5" w:rsidRDefault="009B1AE5" w:rsidP="00E71388">
      <w:pPr>
        <w:rPr>
          <w:rFonts w:ascii="Arial" w:hAnsi="Arial" w:cs="Arial"/>
          <w:sz w:val="24"/>
          <w:szCs w:val="24"/>
        </w:rPr>
      </w:pPr>
    </w:p>
    <w:p w14:paraId="534E9B27" w14:textId="24EF3FA1" w:rsidR="00C93A45" w:rsidRPr="00E71388" w:rsidRDefault="001F77D7" w:rsidP="00E71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3A45">
        <w:rPr>
          <w:rFonts w:ascii="Arial" w:hAnsi="Arial" w:cs="Arial"/>
          <w:sz w:val="24"/>
          <w:szCs w:val="24"/>
        </w:rPr>
        <w:t xml:space="preserve"> </w:t>
      </w:r>
    </w:p>
    <w:sectPr w:rsidR="00C93A45" w:rsidRPr="00E71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089"/>
    <w:multiLevelType w:val="hybridMultilevel"/>
    <w:tmpl w:val="51047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3"/>
  </w:num>
  <w:num w:numId="3" w16cid:durableId="510611376">
    <w:abstractNumId w:val="1"/>
  </w:num>
  <w:num w:numId="4" w16cid:durableId="1113787725">
    <w:abstractNumId w:val="2"/>
  </w:num>
  <w:num w:numId="5" w16cid:durableId="2079016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71CA7"/>
    <w:rsid w:val="000E53A8"/>
    <w:rsid w:val="000F1A65"/>
    <w:rsid w:val="00111DE4"/>
    <w:rsid w:val="001463BD"/>
    <w:rsid w:val="00163D95"/>
    <w:rsid w:val="001F77D7"/>
    <w:rsid w:val="0022592D"/>
    <w:rsid w:val="002301CF"/>
    <w:rsid w:val="00261684"/>
    <w:rsid w:val="002A4BFD"/>
    <w:rsid w:val="002A55D2"/>
    <w:rsid w:val="002A64BF"/>
    <w:rsid w:val="002A6EEF"/>
    <w:rsid w:val="002B6B99"/>
    <w:rsid w:val="002B7A68"/>
    <w:rsid w:val="00315150"/>
    <w:rsid w:val="00346A8D"/>
    <w:rsid w:val="003767E4"/>
    <w:rsid w:val="00387083"/>
    <w:rsid w:val="003B5D3C"/>
    <w:rsid w:val="003D0299"/>
    <w:rsid w:val="003D06BD"/>
    <w:rsid w:val="003E1D41"/>
    <w:rsid w:val="003F594E"/>
    <w:rsid w:val="00402F7D"/>
    <w:rsid w:val="00482BD3"/>
    <w:rsid w:val="00497E0D"/>
    <w:rsid w:val="004E554A"/>
    <w:rsid w:val="004F6C1B"/>
    <w:rsid w:val="0052646A"/>
    <w:rsid w:val="005554FD"/>
    <w:rsid w:val="005A6E0C"/>
    <w:rsid w:val="005F3741"/>
    <w:rsid w:val="00604BB9"/>
    <w:rsid w:val="006057CD"/>
    <w:rsid w:val="00632BE9"/>
    <w:rsid w:val="00665C54"/>
    <w:rsid w:val="00697372"/>
    <w:rsid w:val="006B275E"/>
    <w:rsid w:val="006D667A"/>
    <w:rsid w:val="00724948"/>
    <w:rsid w:val="00731A91"/>
    <w:rsid w:val="00736F3C"/>
    <w:rsid w:val="00765375"/>
    <w:rsid w:val="00785133"/>
    <w:rsid w:val="0079080D"/>
    <w:rsid w:val="0079593F"/>
    <w:rsid w:val="007A7824"/>
    <w:rsid w:val="007B41FB"/>
    <w:rsid w:val="007E1CD6"/>
    <w:rsid w:val="007E6B83"/>
    <w:rsid w:val="00814E9D"/>
    <w:rsid w:val="00832F39"/>
    <w:rsid w:val="0088594B"/>
    <w:rsid w:val="00896B7E"/>
    <w:rsid w:val="008E5968"/>
    <w:rsid w:val="00924582"/>
    <w:rsid w:val="00942787"/>
    <w:rsid w:val="00952344"/>
    <w:rsid w:val="00954D8F"/>
    <w:rsid w:val="009B1AE5"/>
    <w:rsid w:val="009F0D3F"/>
    <w:rsid w:val="00A03898"/>
    <w:rsid w:val="00A2249E"/>
    <w:rsid w:val="00A4221F"/>
    <w:rsid w:val="00A54C48"/>
    <w:rsid w:val="00A81231"/>
    <w:rsid w:val="00A925FF"/>
    <w:rsid w:val="00AA112B"/>
    <w:rsid w:val="00AB5168"/>
    <w:rsid w:val="00AE65A0"/>
    <w:rsid w:val="00AF2EB2"/>
    <w:rsid w:val="00AF4C56"/>
    <w:rsid w:val="00B5785F"/>
    <w:rsid w:val="00B76ED2"/>
    <w:rsid w:val="00B9390C"/>
    <w:rsid w:val="00BE0FD6"/>
    <w:rsid w:val="00BF453F"/>
    <w:rsid w:val="00C0551B"/>
    <w:rsid w:val="00C163BE"/>
    <w:rsid w:val="00C3731A"/>
    <w:rsid w:val="00C41748"/>
    <w:rsid w:val="00C826CA"/>
    <w:rsid w:val="00C93A45"/>
    <w:rsid w:val="00CA408F"/>
    <w:rsid w:val="00CF031F"/>
    <w:rsid w:val="00D12FFE"/>
    <w:rsid w:val="00D30273"/>
    <w:rsid w:val="00D30E0B"/>
    <w:rsid w:val="00D35FFF"/>
    <w:rsid w:val="00D54875"/>
    <w:rsid w:val="00D63083"/>
    <w:rsid w:val="00D76121"/>
    <w:rsid w:val="00D97115"/>
    <w:rsid w:val="00DF3282"/>
    <w:rsid w:val="00E254EC"/>
    <w:rsid w:val="00E63E67"/>
    <w:rsid w:val="00E6743E"/>
    <w:rsid w:val="00E71388"/>
    <w:rsid w:val="00E80E7A"/>
    <w:rsid w:val="00E87FE6"/>
    <w:rsid w:val="00E917AF"/>
    <w:rsid w:val="00ED5292"/>
    <w:rsid w:val="00ED58B4"/>
    <w:rsid w:val="00F06D63"/>
    <w:rsid w:val="00F13760"/>
    <w:rsid w:val="00F308A6"/>
    <w:rsid w:val="00F31A6F"/>
    <w:rsid w:val="00F417CA"/>
    <w:rsid w:val="00FD539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13</cp:revision>
  <cp:lastPrinted>2024-02-29T11:29:00Z</cp:lastPrinted>
  <dcterms:created xsi:type="dcterms:W3CDTF">2024-02-27T12:35:00Z</dcterms:created>
  <dcterms:modified xsi:type="dcterms:W3CDTF">2024-03-01T09:01:00Z</dcterms:modified>
</cp:coreProperties>
</file>