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7FCF4" w14:textId="33E06831" w:rsidR="006617FB" w:rsidRDefault="006617FB" w:rsidP="008E5EE3">
      <w:pPr>
        <w:tabs>
          <w:tab w:val="left" w:pos="264"/>
        </w:tabs>
        <w:spacing w:after="0" w:line="240" w:lineRule="auto"/>
        <w:rPr>
          <w:rFonts w:cstheme="minorHAnsi"/>
          <w:b/>
          <w:bCs/>
          <w:sz w:val="44"/>
          <w:szCs w:val="44"/>
        </w:rPr>
      </w:pPr>
    </w:p>
    <w:p w14:paraId="712F117F" w14:textId="48832B72" w:rsidR="006617FB" w:rsidRDefault="008E5EE3" w:rsidP="006617FB">
      <w:pPr>
        <w:spacing w:after="0" w:line="240" w:lineRule="auto"/>
        <w:jc w:val="center"/>
        <w:rPr>
          <w:rFonts w:cstheme="minorHAnsi"/>
          <w:b/>
          <w:bCs/>
          <w:sz w:val="44"/>
          <w:szCs w:val="44"/>
        </w:rPr>
      </w:pPr>
      <w:r>
        <w:rPr>
          <w:noProof/>
          <w:lang w:eastAsia="en-GB"/>
        </w:rPr>
        <w:drawing>
          <wp:inline distT="0" distB="0" distL="0" distR="0" wp14:anchorId="6B268BC7" wp14:editId="295A7F67">
            <wp:extent cx="2620645" cy="2773680"/>
            <wp:effectExtent l="0" t="0" r="8255" b="7620"/>
            <wp:docPr id="1" name="Picture 1" descr="A black and white drawing of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church&#10;&#10;Description automatically generated"/>
                    <pic:cNvPicPr>
                      <a:picLocks noChangeAspect="1" noChangeArrowheads="1"/>
                    </pic:cNvPicPr>
                  </pic:nvPicPr>
                  <pic:blipFill>
                    <a:blip r:embed="rId8"/>
                    <a:srcRect/>
                    <a:stretch>
                      <a:fillRect/>
                    </a:stretch>
                  </pic:blipFill>
                  <pic:spPr bwMode="auto">
                    <a:xfrm>
                      <a:off x="0" y="0"/>
                      <a:ext cx="2653329" cy="2808273"/>
                    </a:xfrm>
                    <a:prstGeom prst="rect">
                      <a:avLst/>
                    </a:prstGeom>
                    <a:noFill/>
                    <a:ln w="9525">
                      <a:noFill/>
                      <a:miter lim="800000"/>
                      <a:headEnd/>
                      <a:tailEnd/>
                    </a:ln>
                  </pic:spPr>
                </pic:pic>
              </a:graphicData>
            </a:graphic>
          </wp:inline>
        </w:drawing>
      </w:r>
    </w:p>
    <w:p w14:paraId="0023E253" w14:textId="77777777" w:rsidR="006617FB" w:rsidRDefault="006617FB" w:rsidP="006617FB">
      <w:pPr>
        <w:spacing w:after="0" w:line="240" w:lineRule="auto"/>
        <w:jc w:val="center"/>
        <w:rPr>
          <w:rFonts w:cstheme="minorHAnsi"/>
          <w:b/>
          <w:bCs/>
          <w:sz w:val="44"/>
          <w:szCs w:val="44"/>
        </w:rPr>
      </w:pPr>
    </w:p>
    <w:p w14:paraId="657F46AB" w14:textId="77777777" w:rsidR="006617FB" w:rsidRDefault="006617FB" w:rsidP="006617FB">
      <w:pPr>
        <w:spacing w:after="0" w:line="240" w:lineRule="auto"/>
        <w:jc w:val="center"/>
        <w:rPr>
          <w:rFonts w:cstheme="minorHAnsi"/>
          <w:b/>
          <w:bCs/>
          <w:sz w:val="44"/>
          <w:szCs w:val="44"/>
        </w:rPr>
      </w:pPr>
    </w:p>
    <w:p w14:paraId="3F770377" w14:textId="77777777" w:rsidR="008E5EE3" w:rsidRPr="008E5EE3" w:rsidRDefault="008E5EE3" w:rsidP="006617FB">
      <w:pPr>
        <w:spacing w:after="0" w:line="240" w:lineRule="auto"/>
        <w:jc w:val="center"/>
        <w:rPr>
          <w:rFonts w:ascii="Arial" w:hAnsi="Arial" w:cs="Arial"/>
          <w:b/>
          <w:bCs/>
          <w:sz w:val="44"/>
          <w:szCs w:val="44"/>
        </w:rPr>
      </w:pPr>
      <w:r w:rsidRPr="008E5EE3">
        <w:rPr>
          <w:rFonts w:ascii="Arial" w:hAnsi="Arial" w:cs="Arial"/>
          <w:b/>
          <w:bCs/>
          <w:sz w:val="44"/>
          <w:szCs w:val="44"/>
        </w:rPr>
        <w:t>MARKET DRAYTON</w:t>
      </w:r>
    </w:p>
    <w:p w14:paraId="15101CBE" w14:textId="53CCBA3B" w:rsidR="006617FB" w:rsidRPr="008E5EE3" w:rsidRDefault="008E5EE3" w:rsidP="006617FB">
      <w:pPr>
        <w:spacing w:after="0" w:line="240" w:lineRule="auto"/>
        <w:jc w:val="center"/>
        <w:rPr>
          <w:rFonts w:ascii="Arial" w:hAnsi="Arial" w:cs="Arial"/>
          <w:b/>
          <w:bCs/>
          <w:sz w:val="44"/>
          <w:szCs w:val="44"/>
        </w:rPr>
      </w:pPr>
      <w:r w:rsidRPr="008E5EE3">
        <w:rPr>
          <w:rFonts w:ascii="Arial" w:hAnsi="Arial" w:cs="Arial"/>
          <w:b/>
          <w:bCs/>
          <w:sz w:val="44"/>
          <w:szCs w:val="44"/>
        </w:rPr>
        <w:t>TOWN COUNCIL</w:t>
      </w:r>
    </w:p>
    <w:p w14:paraId="5A653D66" w14:textId="77777777" w:rsidR="006617FB" w:rsidRPr="008E5EE3" w:rsidRDefault="006617FB" w:rsidP="008E5EE3">
      <w:pPr>
        <w:spacing w:after="0" w:line="240" w:lineRule="auto"/>
        <w:rPr>
          <w:rFonts w:ascii="Arial" w:hAnsi="Arial" w:cs="Arial"/>
          <w:b/>
          <w:bCs/>
          <w:sz w:val="44"/>
          <w:szCs w:val="44"/>
        </w:rPr>
      </w:pPr>
    </w:p>
    <w:p w14:paraId="218260E4" w14:textId="77777777" w:rsidR="006617FB" w:rsidRPr="008E5EE3" w:rsidRDefault="006617FB" w:rsidP="006617FB">
      <w:pPr>
        <w:spacing w:after="0" w:line="240" w:lineRule="auto"/>
        <w:jc w:val="center"/>
        <w:rPr>
          <w:rFonts w:ascii="Arial" w:hAnsi="Arial" w:cs="Arial"/>
          <w:b/>
          <w:bCs/>
          <w:sz w:val="44"/>
          <w:szCs w:val="44"/>
        </w:rPr>
      </w:pPr>
    </w:p>
    <w:p w14:paraId="38E13EFC" w14:textId="35DC776E" w:rsidR="006617FB" w:rsidRPr="008E5EE3" w:rsidRDefault="00184DE1" w:rsidP="00E3458D">
      <w:pPr>
        <w:spacing w:after="0" w:line="240" w:lineRule="auto"/>
        <w:jc w:val="center"/>
        <w:rPr>
          <w:rFonts w:ascii="Arial" w:hAnsi="Arial" w:cs="Arial"/>
          <w:b/>
          <w:bCs/>
          <w:sz w:val="44"/>
          <w:szCs w:val="44"/>
        </w:rPr>
      </w:pPr>
      <w:r w:rsidRPr="008E5EE3">
        <w:rPr>
          <w:rFonts w:ascii="Arial" w:hAnsi="Arial" w:cs="Arial"/>
          <w:b/>
          <w:bCs/>
          <w:sz w:val="44"/>
          <w:szCs w:val="44"/>
        </w:rPr>
        <w:t>ANNUAL INVESTMENT STRATEGY</w:t>
      </w:r>
      <w:r w:rsidR="002D1AEB" w:rsidRPr="008E5EE3">
        <w:rPr>
          <w:rFonts w:ascii="Arial" w:hAnsi="Arial" w:cs="Arial"/>
          <w:b/>
          <w:bCs/>
          <w:sz w:val="44"/>
          <w:szCs w:val="44"/>
        </w:rPr>
        <w:br/>
      </w:r>
    </w:p>
    <w:p w14:paraId="5A5D0116" w14:textId="28B96488" w:rsidR="006617FB" w:rsidRPr="008E5EE3" w:rsidRDefault="008E5EE3" w:rsidP="00E3458D">
      <w:pPr>
        <w:pStyle w:val="paragraph"/>
        <w:spacing w:before="0" w:beforeAutospacing="0" w:after="0" w:afterAutospacing="0"/>
        <w:ind w:right="-615"/>
        <w:jc w:val="center"/>
        <w:textAlignment w:val="baseline"/>
        <w:rPr>
          <w:rFonts w:ascii="Arial" w:hAnsi="Arial" w:cs="Arial"/>
          <w:sz w:val="18"/>
          <w:szCs w:val="18"/>
        </w:rPr>
      </w:pPr>
      <w:r w:rsidRPr="008E5EE3">
        <w:rPr>
          <w:rStyle w:val="normaltextrun"/>
          <w:rFonts w:ascii="Arial" w:hAnsi="Arial" w:cs="Arial"/>
          <w:b/>
          <w:bCs/>
          <w:sz w:val="44"/>
          <w:szCs w:val="44"/>
        </w:rPr>
        <w:t>OCTOBER</w:t>
      </w:r>
      <w:r w:rsidR="006617FB" w:rsidRPr="008E5EE3">
        <w:rPr>
          <w:rStyle w:val="normaltextrun"/>
          <w:rFonts w:ascii="Arial" w:hAnsi="Arial" w:cs="Arial"/>
          <w:b/>
          <w:bCs/>
          <w:sz w:val="44"/>
          <w:szCs w:val="44"/>
        </w:rPr>
        <w:t xml:space="preserve"> 202</w:t>
      </w:r>
      <w:r w:rsidR="00184DE1" w:rsidRPr="008E5EE3">
        <w:rPr>
          <w:rStyle w:val="normaltextrun"/>
          <w:rFonts w:ascii="Arial" w:hAnsi="Arial" w:cs="Arial"/>
          <w:b/>
          <w:bCs/>
          <w:sz w:val="44"/>
          <w:szCs w:val="44"/>
        </w:rPr>
        <w:t>3</w:t>
      </w:r>
    </w:p>
    <w:p w14:paraId="3CFF9710" w14:textId="77777777" w:rsidR="006617FB" w:rsidRPr="008E5EE3" w:rsidRDefault="006617FB" w:rsidP="006617FB">
      <w:pPr>
        <w:pStyle w:val="paragraph"/>
        <w:spacing w:before="0" w:beforeAutospacing="0" w:after="0" w:afterAutospacing="0"/>
        <w:jc w:val="center"/>
        <w:textAlignment w:val="baseline"/>
        <w:rPr>
          <w:rFonts w:ascii="Arial" w:hAnsi="Arial" w:cs="Arial"/>
          <w:sz w:val="18"/>
          <w:szCs w:val="18"/>
        </w:rPr>
      </w:pPr>
    </w:p>
    <w:p w14:paraId="34531422" w14:textId="77777777" w:rsidR="006617FB" w:rsidRPr="008E5EE3" w:rsidRDefault="006617FB" w:rsidP="006617FB">
      <w:pPr>
        <w:pStyle w:val="paragraph"/>
        <w:spacing w:before="0" w:beforeAutospacing="0" w:after="0" w:afterAutospacing="0"/>
        <w:jc w:val="center"/>
        <w:textAlignment w:val="baseline"/>
        <w:rPr>
          <w:rFonts w:ascii="Arial" w:hAnsi="Arial" w:cs="Arial"/>
          <w:sz w:val="18"/>
          <w:szCs w:val="18"/>
        </w:rPr>
      </w:pPr>
    </w:p>
    <w:p w14:paraId="72383597" w14:textId="77777777" w:rsidR="006617FB" w:rsidRDefault="006617FB" w:rsidP="006617FB">
      <w:pPr>
        <w:pStyle w:val="paragraph"/>
        <w:spacing w:before="0" w:beforeAutospacing="0" w:after="0" w:afterAutospacing="0"/>
        <w:jc w:val="center"/>
        <w:textAlignment w:val="baseline"/>
        <w:rPr>
          <w:rFonts w:ascii="Segoe UI" w:hAnsi="Segoe UI" w:cs="Segoe UI"/>
          <w:sz w:val="18"/>
          <w:szCs w:val="18"/>
        </w:rPr>
      </w:pPr>
    </w:p>
    <w:p w14:paraId="716CC881" w14:textId="77777777" w:rsidR="006617FB" w:rsidRDefault="006617FB" w:rsidP="006617FB">
      <w:pPr>
        <w:pStyle w:val="paragraph"/>
        <w:spacing w:before="0" w:beforeAutospacing="0" w:after="0" w:afterAutospacing="0"/>
        <w:jc w:val="center"/>
        <w:textAlignment w:val="baseline"/>
        <w:rPr>
          <w:rFonts w:ascii="Segoe UI" w:hAnsi="Segoe UI" w:cs="Segoe UI"/>
          <w:sz w:val="18"/>
          <w:szCs w:val="18"/>
        </w:rPr>
      </w:pPr>
    </w:p>
    <w:p w14:paraId="7554F75E" w14:textId="77777777" w:rsidR="006617FB" w:rsidRDefault="006617FB" w:rsidP="006617FB">
      <w:pPr>
        <w:pStyle w:val="paragraph"/>
        <w:spacing w:before="0" w:beforeAutospacing="0" w:after="0" w:afterAutospacing="0"/>
        <w:jc w:val="center"/>
        <w:textAlignment w:val="baseline"/>
        <w:rPr>
          <w:rFonts w:ascii="Segoe UI" w:hAnsi="Segoe UI" w:cs="Segoe UI"/>
          <w:sz w:val="18"/>
          <w:szCs w:val="18"/>
        </w:rPr>
      </w:pPr>
    </w:p>
    <w:p w14:paraId="57A2D0C0" w14:textId="77777777" w:rsidR="006617FB" w:rsidRDefault="006617FB" w:rsidP="006617FB">
      <w:pPr>
        <w:pStyle w:val="paragraph"/>
        <w:spacing w:before="0" w:beforeAutospacing="0" w:after="0" w:afterAutospacing="0"/>
        <w:jc w:val="center"/>
        <w:textAlignment w:val="baseline"/>
        <w:rPr>
          <w:rFonts w:ascii="Segoe UI" w:hAnsi="Segoe UI" w:cs="Segoe UI"/>
          <w:sz w:val="18"/>
          <w:szCs w:val="18"/>
        </w:rPr>
      </w:pPr>
    </w:p>
    <w:p w14:paraId="1C2F3C7B" w14:textId="77777777" w:rsidR="006617FB" w:rsidRDefault="006617FB" w:rsidP="006617FB">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14:paraId="29163A8F" w14:textId="77777777" w:rsidR="006617FB" w:rsidRDefault="006617FB" w:rsidP="006617FB">
      <w:pPr>
        <w:pStyle w:val="paragraph"/>
        <w:spacing w:before="0" w:beforeAutospacing="0" w:after="0" w:afterAutospacing="0"/>
        <w:textAlignment w:val="baseline"/>
        <w:rPr>
          <w:rStyle w:val="eop"/>
          <w:rFonts w:ascii="Calibri" w:hAnsi="Calibri" w:cs="Calibri"/>
          <w:sz w:val="22"/>
          <w:szCs w:val="22"/>
        </w:rPr>
      </w:pPr>
    </w:p>
    <w:p w14:paraId="7C1886F3" w14:textId="77777777" w:rsidR="006617FB" w:rsidRDefault="006617FB" w:rsidP="006617FB">
      <w:pPr>
        <w:pStyle w:val="paragraph"/>
        <w:spacing w:before="0" w:beforeAutospacing="0" w:after="0" w:afterAutospacing="0"/>
        <w:textAlignment w:val="baseline"/>
        <w:rPr>
          <w:rStyle w:val="eop"/>
          <w:rFonts w:ascii="Calibri" w:hAnsi="Calibri" w:cs="Calibri"/>
          <w:sz w:val="22"/>
          <w:szCs w:val="22"/>
        </w:rPr>
      </w:pPr>
    </w:p>
    <w:p w14:paraId="4502046D" w14:textId="77777777" w:rsidR="006617FB" w:rsidRDefault="006617FB" w:rsidP="006617FB">
      <w:pPr>
        <w:pStyle w:val="paragraph"/>
        <w:spacing w:before="0" w:beforeAutospacing="0" w:after="0" w:afterAutospacing="0"/>
        <w:textAlignment w:val="baseline"/>
        <w:rPr>
          <w:rFonts w:ascii="Segoe UI" w:hAnsi="Segoe UI" w:cs="Segoe UI"/>
          <w:sz w:val="18"/>
          <w:szCs w:val="18"/>
        </w:rPr>
      </w:pPr>
    </w:p>
    <w:p w14:paraId="112AC52A" w14:textId="77777777" w:rsidR="006617FB" w:rsidRPr="006617FB" w:rsidRDefault="006617FB" w:rsidP="006617FB">
      <w:pPr>
        <w:spacing w:after="0" w:line="240" w:lineRule="auto"/>
        <w:jc w:val="center"/>
        <w:rPr>
          <w:rFonts w:ascii="Cambria Math" w:hAnsi="Cambria Math"/>
          <w:b/>
          <w:bCs/>
          <w:sz w:val="20"/>
          <w:szCs w:val="20"/>
          <w:u w:val="single"/>
        </w:rPr>
      </w:pPr>
    </w:p>
    <w:p w14:paraId="34A2109D" w14:textId="6E6BF19F" w:rsidR="006954A5" w:rsidRDefault="006617FB" w:rsidP="006954A5">
      <w:pPr>
        <w:ind w:left="720" w:hanging="720"/>
        <w:jc w:val="center"/>
        <w:rPr>
          <w:rFonts w:ascii="Arial" w:hAnsi="Arial" w:cs="Arial"/>
          <w:b/>
          <w:bCs/>
          <w:sz w:val="24"/>
          <w:szCs w:val="24"/>
        </w:rPr>
      </w:pPr>
      <w:r w:rsidRPr="008E5EE3">
        <w:rPr>
          <w:rFonts w:ascii="Arial" w:hAnsi="Arial" w:cs="Arial"/>
          <w:b/>
          <w:bCs/>
          <w:sz w:val="24"/>
          <w:szCs w:val="24"/>
        </w:rPr>
        <w:t>This policy was adopted by</w:t>
      </w:r>
      <w:r w:rsidR="008E5EE3" w:rsidRPr="008E5EE3">
        <w:rPr>
          <w:rFonts w:ascii="Arial" w:hAnsi="Arial" w:cs="Arial"/>
          <w:b/>
          <w:bCs/>
          <w:sz w:val="24"/>
          <w:szCs w:val="24"/>
        </w:rPr>
        <w:t xml:space="preserve"> Market Drayton Town Council on 2 November 2023</w:t>
      </w:r>
    </w:p>
    <w:p w14:paraId="6A8BBA25" w14:textId="3F0CF050" w:rsidR="006617FB" w:rsidRPr="008E5EE3" w:rsidRDefault="006954A5" w:rsidP="006954A5">
      <w:pPr>
        <w:ind w:left="720" w:hanging="720"/>
        <w:jc w:val="center"/>
        <w:rPr>
          <w:rFonts w:ascii="Arial" w:hAnsi="Arial" w:cs="Arial"/>
          <w:b/>
          <w:bCs/>
          <w:sz w:val="24"/>
          <w:szCs w:val="24"/>
        </w:rPr>
      </w:pPr>
      <w:r>
        <w:rPr>
          <w:rFonts w:ascii="Arial" w:hAnsi="Arial" w:cs="Arial"/>
          <w:b/>
          <w:bCs/>
          <w:sz w:val="24"/>
          <w:szCs w:val="24"/>
        </w:rPr>
        <w:t>at a Finance and General-Purpose Committee.</w:t>
      </w:r>
    </w:p>
    <w:p w14:paraId="5268B8D7" w14:textId="77777777" w:rsidR="006954A5" w:rsidRDefault="006954A5" w:rsidP="006954A5">
      <w:pPr>
        <w:ind w:left="720" w:hanging="720"/>
        <w:jc w:val="center"/>
        <w:rPr>
          <w:rFonts w:ascii="Arial" w:hAnsi="Arial" w:cs="Arial"/>
          <w:b/>
          <w:bCs/>
          <w:sz w:val="24"/>
          <w:szCs w:val="24"/>
        </w:rPr>
      </w:pPr>
    </w:p>
    <w:p w14:paraId="1423BB45" w14:textId="589E77DA" w:rsidR="00A019BD" w:rsidRPr="008E5EE3" w:rsidRDefault="00A019BD" w:rsidP="006954A5">
      <w:pPr>
        <w:ind w:left="720" w:hanging="720"/>
        <w:jc w:val="center"/>
        <w:rPr>
          <w:rFonts w:ascii="Arial" w:hAnsi="Arial" w:cs="Arial"/>
          <w:b/>
          <w:bCs/>
          <w:sz w:val="24"/>
          <w:szCs w:val="24"/>
        </w:rPr>
      </w:pPr>
      <w:r w:rsidRPr="008E5EE3">
        <w:rPr>
          <w:rFonts w:ascii="Arial" w:hAnsi="Arial" w:cs="Arial"/>
          <w:b/>
          <w:bCs/>
          <w:sz w:val="24"/>
          <w:szCs w:val="24"/>
        </w:rPr>
        <w:t>To be reviewed annually.</w:t>
      </w:r>
    </w:p>
    <w:p w14:paraId="4646D069" w14:textId="77777777" w:rsidR="00A019BD" w:rsidRPr="006617FB" w:rsidRDefault="00A019BD" w:rsidP="006617FB">
      <w:pPr>
        <w:ind w:left="720" w:hanging="720"/>
        <w:rPr>
          <w:rFonts w:cstheme="minorHAnsi"/>
          <w:b/>
          <w:bCs/>
        </w:rPr>
      </w:pPr>
    </w:p>
    <w:p w14:paraId="37688178" w14:textId="7DEA755B" w:rsidR="00B25734" w:rsidRPr="006954A5" w:rsidRDefault="00184DE1" w:rsidP="006617FB">
      <w:pPr>
        <w:pBdr>
          <w:bottom w:val="single" w:sz="4" w:space="1" w:color="auto"/>
        </w:pBdr>
        <w:spacing w:after="0" w:line="240" w:lineRule="auto"/>
        <w:jc w:val="center"/>
        <w:rPr>
          <w:rFonts w:ascii="Arial" w:hAnsi="Arial" w:cs="Arial"/>
          <w:b/>
          <w:bCs/>
          <w:sz w:val="24"/>
          <w:szCs w:val="24"/>
        </w:rPr>
      </w:pPr>
      <w:r w:rsidRPr="006954A5">
        <w:rPr>
          <w:rFonts w:ascii="Arial" w:hAnsi="Arial" w:cs="Arial"/>
          <w:b/>
          <w:bCs/>
          <w:sz w:val="24"/>
          <w:szCs w:val="24"/>
        </w:rPr>
        <w:t>ANNUAL</w:t>
      </w:r>
      <w:r w:rsidR="00DE67E9" w:rsidRPr="006954A5">
        <w:rPr>
          <w:rFonts w:ascii="Arial" w:hAnsi="Arial" w:cs="Arial"/>
          <w:b/>
          <w:bCs/>
          <w:sz w:val="24"/>
          <w:szCs w:val="24"/>
        </w:rPr>
        <w:t xml:space="preserve"> </w:t>
      </w:r>
      <w:r w:rsidRPr="006954A5">
        <w:rPr>
          <w:rFonts w:ascii="Arial" w:hAnsi="Arial" w:cs="Arial"/>
          <w:b/>
          <w:bCs/>
          <w:sz w:val="24"/>
          <w:szCs w:val="24"/>
        </w:rPr>
        <w:t>INVESTMENT STRATEGY</w:t>
      </w:r>
    </w:p>
    <w:p w14:paraId="14034622" w14:textId="77777777" w:rsidR="00343CDB" w:rsidRPr="006954A5" w:rsidRDefault="00343CDB" w:rsidP="00B25734">
      <w:pPr>
        <w:spacing w:after="0" w:line="240" w:lineRule="auto"/>
        <w:rPr>
          <w:rFonts w:cstheme="minorHAnsi"/>
          <w:sz w:val="24"/>
          <w:szCs w:val="24"/>
        </w:rPr>
      </w:pPr>
    </w:p>
    <w:p w14:paraId="007B9570" w14:textId="77777777" w:rsidR="005C6387" w:rsidRPr="006954A5" w:rsidRDefault="005C6387" w:rsidP="005C6387">
      <w:pPr>
        <w:spacing w:after="0"/>
        <w:rPr>
          <w:rFonts w:ascii="Calibri" w:eastAsia="Calibri" w:hAnsi="Calibri" w:cs="Calibri"/>
          <w:color w:val="002060"/>
          <w:kern w:val="2"/>
          <w:sz w:val="24"/>
          <w:szCs w:val="24"/>
          <w:lang w:eastAsia="en-GB"/>
          <w14:ligatures w14:val="standardContextual"/>
        </w:rPr>
      </w:pPr>
    </w:p>
    <w:p w14:paraId="14D54675" w14:textId="4BED3178" w:rsidR="00017529" w:rsidRPr="006954A5" w:rsidRDefault="00017529" w:rsidP="00017529">
      <w:pPr>
        <w:spacing w:after="0"/>
        <w:rPr>
          <w:rFonts w:ascii="Arial" w:eastAsia="Calibri" w:hAnsi="Arial" w:cs="Arial"/>
          <w:kern w:val="2"/>
          <w:sz w:val="24"/>
          <w:szCs w:val="24"/>
          <w:lang w:eastAsia="en-GB"/>
          <w14:ligatures w14:val="standardContextual"/>
        </w:rPr>
      </w:pPr>
      <w:r w:rsidRPr="006954A5">
        <w:rPr>
          <w:rFonts w:ascii="Arial" w:eastAsia="Calibri" w:hAnsi="Arial" w:cs="Arial"/>
          <w:b/>
          <w:kern w:val="2"/>
          <w:sz w:val="24"/>
          <w:szCs w:val="24"/>
          <w:lang w:eastAsia="en-GB"/>
          <w14:ligatures w14:val="standardContextual"/>
        </w:rPr>
        <w:t>ANNUAL INVESTMENT STRATEGY 2023/2024</w:t>
      </w:r>
    </w:p>
    <w:p w14:paraId="54FCC387" w14:textId="77777777" w:rsidR="00017529" w:rsidRPr="006954A5" w:rsidRDefault="00017529" w:rsidP="00017529">
      <w:pPr>
        <w:spacing w:after="0"/>
        <w:rPr>
          <w:rFonts w:ascii="Arial" w:eastAsia="Calibri" w:hAnsi="Arial" w:cs="Arial"/>
          <w:kern w:val="2"/>
          <w:sz w:val="24"/>
          <w:szCs w:val="24"/>
          <w:lang w:eastAsia="en-GB"/>
          <w14:ligatures w14:val="standardContextual"/>
        </w:rPr>
      </w:pPr>
    </w:p>
    <w:p w14:paraId="7FE607C0" w14:textId="77777777" w:rsidR="00017529" w:rsidRPr="006954A5" w:rsidRDefault="00017529" w:rsidP="00017529">
      <w:pPr>
        <w:spacing w:after="0"/>
        <w:rPr>
          <w:rFonts w:ascii="Arial" w:eastAsia="Calibri" w:hAnsi="Arial" w:cs="Arial"/>
          <w:b/>
          <w:bCs/>
          <w:kern w:val="2"/>
          <w:sz w:val="24"/>
          <w:szCs w:val="24"/>
          <w:lang w:eastAsia="en-GB"/>
          <w14:ligatures w14:val="standardContextual"/>
        </w:rPr>
      </w:pPr>
      <w:r w:rsidRPr="006954A5">
        <w:rPr>
          <w:rFonts w:ascii="Arial" w:eastAsia="Calibri" w:hAnsi="Arial" w:cs="Arial"/>
          <w:kern w:val="2"/>
          <w:sz w:val="24"/>
          <w:szCs w:val="24"/>
          <w:lang w:eastAsia="en-GB"/>
          <w14:ligatures w14:val="standardContextual"/>
        </w:rPr>
        <w:t xml:space="preserve">1.  </w:t>
      </w:r>
      <w:r w:rsidRPr="006954A5">
        <w:rPr>
          <w:rFonts w:ascii="Arial" w:eastAsia="Calibri" w:hAnsi="Arial" w:cs="Arial"/>
          <w:kern w:val="2"/>
          <w:sz w:val="24"/>
          <w:szCs w:val="24"/>
          <w:lang w:eastAsia="en-GB"/>
          <w14:ligatures w14:val="standardContextual"/>
        </w:rPr>
        <w:tab/>
      </w:r>
      <w:r w:rsidRPr="006954A5">
        <w:rPr>
          <w:rFonts w:ascii="Arial" w:eastAsia="Calibri" w:hAnsi="Arial" w:cs="Arial"/>
          <w:b/>
          <w:bCs/>
          <w:kern w:val="2"/>
          <w:sz w:val="24"/>
          <w:szCs w:val="24"/>
          <w:lang w:eastAsia="en-GB"/>
          <w14:ligatures w14:val="standardContextual"/>
        </w:rPr>
        <w:t>INTRODUCTION</w:t>
      </w:r>
    </w:p>
    <w:p w14:paraId="36C45EAA" w14:textId="77777777" w:rsidR="00017529" w:rsidRPr="006954A5" w:rsidRDefault="00017529" w:rsidP="00017529">
      <w:pPr>
        <w:spacing w:after="0"/>
        <w:rPr>
          <w:rFonts w:ascii="Arial" w:eastAsia="Calibri" w:hAnsi="Arial" w:cs="Arial"/>
          <w:kern w:val="2"/>
          <w:sz w:val="24"/>
          <w:szCs w:val="24"/>
          <w:lang w:eastAsia="en-GB"/>
          <w14:ligatures w14:val="standardContextual"/>
        </w:rPr>
      </w:pPr>
    </w:p>
    <w:p w14:paraId="26707ACC" w14:textId="7BB4E01A" w:rsidR="00017529" w:rsidRPr="006954A5" w:rsidRDefault="00017529" w:rsidP="00017529">
      <w:pPr>
        <w:spacing w:after="0"/>
        <w:ind w:left="720" w:hanging="720"/>
        <w:rPr>
          <w:rFonts w:ascii="Arial" w:eastAsia="Calibri" w:hAnsi="Arial" w:cs="Arial"/>
          <w:kern w:val="2"/>
          <w:sz w:val="24"/>
          <w:szCs w:val="24"/>
          <w:lang w:eastAsia="en-GB"/>
          <w14:ligatures w14:val="standardContextual"/>
        </w:rPr>
      </w:pPr>
      <w:r w:rsidRPr="006954A5">
        <w:rPr>
          <w:rFonts w:ascii="Arial" w:eastAsia="Calibri" w:hAnsi="Arial" w:cs="Arial"/>
          <w:kern w:val="2"/>
          <w:sz w:val="24"/>
          <w:szCs w:val="24"/>
          <w:lang w:eastAsia="en-GB"/>
          <w14:ligatures w14:val="standardContextual"/>
        </w:rPr>
        <w:t>1.1</w:t>
      </w:r>
      <w:r w:rsidRPr="006954A5">
        <w:rPr>
          <w:rFonts w:ascii="Arial" w:eastAsia="Calibri" w:hAnsi="Arial" w:cs="Arial"/>
          <w:kern w:val="2"/>
          <w:sz w:val="24"/>
          <w:szCs w:val="24"/>
          <w:lang w:eastAsia="en-GB"/>
          <w14:ligatures w14:val="standardContextual"/>
        </w:rPr>
        <w:tab/>
      </w:r>
      <w:r w:rsidR="008E5EE3" w:rsidRPr="006954A5">
        <w:rPr>
          <w:rFonts w:ascii="Arial" w:eastAsia="Calibri" w:hAnsi="Arial" w:cs="Arial"/>
          <w:kern w:val="2"/>
          <w:sz w:val="24"/>
          <w:szCs w:val="24"/>
          <w:lang w:eastAsia="en-GB"/>
          <w14:ligatures w14:val="standardContextual"/>
        </w:rPr>
        <w:t>Market Drayton Town</w:t>
      </w:r>
      <w:r w:rsidRPr="006954A5">
        <w:rPr>
          <w:rFonts w:ascii="Arial" w:eastAsia="Calibri" w:hAnsi="Arial" w:cs="Arial"/>
          <w:kern w:val="2"/>
          <w:sz w:val="24"/>
          <w:szCs w:val="24"/>
          <w:lang w:eastAsia="en-GB"/>
          <w14:ligatures w14:val="standardContextual"/>
        </w:rPr>
        <w:t xml:space="preserve"> Council acknowledges the importance of prudently investing the temporarily surplus funds held on behalf of the community.</w:t>
      </w:r>
    </w:p>
    <w:p w14:paraId="4423B22F" w14:textId="77777777" w:rsidR="00017529" w:rsidRPr="006954A5" w:rsidRDefault="00017529" w:rsidP="00017529">
      <w:pPr>
        <w:spacing w:after="0"/>
        <w:rPr>
          <w:rFonts w:ascii="Arial" w:eastAsia="Calibri" w:hAnsi="Arial" w:cs="Arial"/>
          <w:kern w:val="2"/>
          <w:sz w:val="24"/>
          <w:szCs w:val="24"/>
          <w:lang w:eastAsia="en-GB"/>
          <w14:ligatures w14:val="standardContextual"/>
        </w:rPr>
      </w:pPr>
    </w:p>
    <w:p w14:paraId="205531A6" w14:textId="77777777" w:rsidR="00791070" w:rsidRPr="006954A5" w:rsidRDefault="00017529" w:rsidP="00A54466">
      <w:pPr>
        <w:spacing w:after="0"/>
        <w:ind w:left="720" w:hanging="720"/>
        <w:rPr>
          <w:rFonts w:ascii="Arial" w:eastAsia="Calibri" w:hAnsi="Arial" w:cs="Arial"/>
          <w:kern w:val="2"/>
          <w:sz w:val="24"/>
          <w:szCs w:val="24"/>
          <w:lang w:eastAsia="en-GB"/>
          <w14:ligatures w14:val="standardContextual"/>
        </w:rPr>
      </w:pPr>
      <w:r w:rsidRPr="006954A5">
        <w:rPr>
          <w:rFonts w:ascii="Arial" w:eastAsia="Calibri" w:hAnsi="Arial" w:cs="Arial"/>
          <w:kern w:val="2"/>
          <w:sz w:val="24"/>
          <w:szCs w:val="24"/>
          <w:lang w:eastAsia="en-GB"/>
          <w14:ligatures w14:val="standardContextual"/>
        </w:rPr>
        <w:t>1.2</w:t>
      </w:r>
      <w:r w:rsidRPr="006954A5">
        <w:rPr>
          <w:rFonts w:ascii="Arial" w:eastAsia="Calibri" w:hAnsi="Arial" w:cs="Arial"/>
          <w:kern w:val="2"/>
          <w:sz w:val="24"/>
          <w:szCs w:val="24"/>
          <w:lang w:eastAsia="en-GB"/>
          <w14:ligatures w14:val="standardContextual"/>
        </w:rPr>
        <w:tab/>
      </w:r>
      <w:r w:rsidR="00A54466" w:rsidRPr="006954A5">
        <w:rPr>
          <w:rFonts w:ascii="Arial" w:eastAsia="Calibri" w:hAnsi="Arial" w:cs="Arial"/>
          <w:kern w:val="2"/>
          <w:sz w:val="24"/>
          <w:szCs w:val="24"/>
          <w:lang w:eastAsia="en-GB"/>
          <w14:ligatures w14:val="standardContextual"/>
        </w:rPr>
        <w:t>This Strategy complies with the revised requirements set out in</w:t>
      </w:r>
      <w:r w:rsidR="00791070" w:rsidRPr="006954A5">
        <w:rPr>
          <w:rFonts w:ascii="Arial" w:eastAsia="Calibri" w:hAnsi="Arial" w:cs="Arial"/>
          <w:kern w:val="2"/>
          <w:sz w:val="24"/>
          <w:szCs w:val="24"/>
          <w:lang w:eastAsia="en-GB"/>
          <w14:ligatures w14:val="standardContextual"/>
        </w:rPr>
        <w:t xml:space="preserve">: </w:t>
      </w:r>
    </w:p>
    <w:p w14:paraId="644EB7D5" w14:textId="77777777" w:rsidR="00791070" w:rsidRPr="006954A5" w:rsidRDefault="00791070" w:rsidP="00A54466">
      <w:pPr>
        <w:spacing w:after="0"/>
        <w:ind w:left="720" w:hanging="720"/>
        <w:rPr>
          <w:rFonts w:ascii="Arial" w:eastAsia="Calibri" w:hAnsi="Arial" w:cs="Arial"/>
          <w:kern w:val="2"/>
          <w:sz w:val="24"/>
          <w:szCs w:val="24"/>
          <w:lang w:eastAsia="en-GB"/>
          <w14:ligatures w14:val="standardContextual"/>
        </w:rPr>
      </w:pPr>
    </w:p>
    <w:p w14:paraId="57055A82" w14:textId="2F42C6A7" w:rsidR="00791070" w:rsidRPr="006954A5" w:rsidRDefault="00A54466" w:rsidP="00791070">
      <w:pPr>
        <w:pStyle w:val="ListParagraph"/>
        <w:numPr>
          <w:ilvl w:val="0"/>
          <w:numId w:val="22"/>
        </w:numPr>
        <w:rPr>
          <w:rFonts w:eastAsia="Calibri"/>
          <w:kern w:val="2"/>
          <w:lang w:eastAsia="en-GB"/>
          <w14:ligatures w14:val="standardContextual"/>
        </w:rPr>
      </w:pPr>
      <w:r w:rsidRPr="006954A5">
        <w:rPr>
          <w:rFonts w:eastAsia="Calibri"/>
          <w:kern w:val="2"/>
          <w:lang w:eastAsia="en-GB"/>
          <w14:ligatures w14:val="standardContextual"/>
        </w:rPr>
        <w:t>Statutory Guidance on Local</w:t>
      </w:r>
      <w:hyperlink r:id="rId9">
        <w:r w:rsidRPr="006954A5">
          <w:rPr>
            <w:rStyle w:val="Hyperlink"/>
            <w:rFonts w:eastAsia="Calibri"/>
            <w:kern w:val="2"/>
            <w:lang w:eastAsia="en-GB"/>
            <w14:ligatures w14:val="standardContextual"/>
          </w:rPr>
          <w:t xml:space="preserve"> </w:t>
        </w:r>
      </w:hyperlink>
      <w:r w:rsidRPr="006954A5">
        <w:rPr>
          <w:rFonts w:eastAsia="Calibri"/>
          <w:kern w:val="2"/>
          <w:lang w:eastAsia="en-GB"/>
          <w14:ligatures w14:val="standardContextual"/>
        </w:rPr>
        <w:t>Government Investments</w:t>
      </w:r>
      <w:hyperlink r:id="rId10">
        <w:r w:rsidRPr="006954A5">
          <w:rPr>
            <w:rStyle w:val="Hyperlink"/>
            <w:rFonts w:eastAsia="Calibri"/>
            <w:kern w:val="2"/>
            <w:u w:val="none"/>
            <w:lang w:eastAsia="en-GB"/>
            <w14:ligatures w14:val="standardContextual"/>
          </w:rPr>
          <w:t xml:space="preserve"> </w:t>
        </w:r>
      </w:hyperlink>
      <w:r w:rsidRPr="006954A5">
        <w:rPr>
          <w:rFonts w:eastAsia="Calibri"/>
          <w:kern w:val="2"/>
          <w:lang w:eastAsia="en-GB"/>
          <w14:ligatures w14:val="standardContextual"/>
        </w:rPr>
        <w:t>issued by the Ministry of Housing, Communities and Local Government</w:t>
      </w:r>
      <w:r w:rsidR="00B47883" w:rsidRPr="006954A5">
        <w:rPr>
          <w:rFonts w:eastAsia="Calibri"/>
          <w:kern w:val="2"/>
          <w:lang w:eastAsia="en-GB"/>
          <w14:ligatures w14:val="standardContextual"/>
        </w:rPr>
        <w:t>.</w:t>
      </w:r>
      <w:r w:rsidR="00791070" w:rsidRPr="006954A5">
        <w:rPr>
          <w:rFonts w:eastAsia="Calibri"/>
          <w:kern w:val="2"/>
          <w:lang w:eastAsia="en-GB"/>
          <w14:ligatures w14:val="standardContextual"/>
        </w:rPr>
        <w:br/>
      </w:r>
    </w:p>
    <w:p w14:paraId="254E37DA" w14:textId="3D80AC27" w:rsidR="00791070" w:rsidRPr="006954A5" w:rsidRDefault="00B47883" w:rsidP="00791070">
      <w:pPr>
        <w:pStyle w:val="ListParagraph"/>
        <w:numPr>
          <w:ilvl w:val="0"/>
          <w:numId w:val="22"/>
        </w:numPr>
        <w:rPr>
          <w:rFonts w:eastAsia="Calibri"/>
          <w:kern w:val="2"/>
          <w:lang w:eastAsia="en-GB"/>
          <w14:ligatures w14:val="standardContextual"/>
        </w:rPr>
      </w:pPr>
      <w:r w:rsidRPr="006954A5">
        <w:rPr>
          <w:rFonts w:eastAsia="Calibri"/>
          <w:kern w:val="2"/>
          <w:lang w:eastAsia="en-GB"/>
          <w14:ligatures w14:val="standardContextual"/>
        </w:rPr>
        <w:t>T</w:t>
      </w:r>
      <w:r w:rsidR="00A54466" w:rsidRPr="006954A5">
        <w:rPr>
          <w:rFonts w:eastAsia="Calibri"/>
          <w:kern w:val="2"/>
          <w:lang w:eastAsia="en-GB"/>
          <w14:ligatures w14:val="standardContextual"/>
        </w:rPr>
        <w:t>akes account of the CIPFA Treasury Management in Public Services: Code of Practice and Cross Sectoral Guidance Notes</w:t>
      </w:r>
      <w:r w:rsidRPr="006954A5">
        <w:rPr>
          <w:rFonts w:eastAsia="Calibri"/>
          <w:kern w:val="2"/>
          <w:lang w:eastAsia="en-GB"/>
          <w14:ligatures w14:val="standardContextual"/>
        </w:rPr>
        <w:t>.</w:t>
      </w:r>
      <w:r w:rsidR="00EC2BF4" w:rsidRPr="006954A5">
        <w:rPr>
          <w:rFonts w:eastAsia="Calibri"/>
          <w:kern w:val="2"/>
          <w:lang w:eastAsia="en-GB"/>
          <w14:ligatures w14:val="standardContextual"/>
        </w:rPr>
        <w:br/>
      </w:r>
    </w:p>
    <w:p w14:paraId="5443F487" w14:textId="0144D4F7" w:rsidR="00EC2BF4" w:rsidRPr="006954A5" w:rsidRDefault="00B47883" w:rsidP="00791070">
      <w:pPr>
        <w:pStyle w:val="ListParagraph"/>
        <w:numPr>
          <w:ilvl w:val="0"/>
          <w:numId w:val="22"/>
        </w:numPr>
        <w:rPr>
          <w:rFonts w:eastAsia="Calibri"/>
          <w:kern w:val="2"/>
          <w:lang w:eastAsia="en-GB"/>
          <w14:ligatures w14:val="standardContextual"/>
        </w:rPr>
      </w:pPr>
      <w:r w:rsidRPr="006954A5">
        <w:rPr>
          <w:rFonts w:eastAsia="Calibri"/>
          <w:kern w:val="2"/>
          <w:lang w:eastAsia="en-GB"/>
          <w14:ligatures w14:val="standardContextual"/>
        </w:rPr>
        <w:t>S</w:t>
      </w:r>
      <w:r w:rsidR="00A54466" w:rsidRPr="006954A5">
        <w:rPr>
          <w:rFonts w:eastAsia="Calibri"/>
          <w:kern w:val="2"/>
          <w:lang w:eastAsia="en-GB"/>
          <w14:ligatures w14:val="standardContextual"/>
        </w:rPr>
        <w:t>ection 15(1)(a) of the Local Government Act 2003</w:t>
      </w:r>
      <w:r w:rsidR="00CA3762" w:rsidRPr="006954A5">
        <w:rPr>
          <w:rFonts w:eastAsia="Calibri"/>
          <w:kern w:val="2"/>
          <w:lang w:eastAsia="en-GB"/>
          <w14:ligatures w14:val="standardContextual"/>
        </w:rPr>
        <w:t>.</w:t>
      </w:r>
      <w:r w:rsidR="00EC2BF4" w:rsidRPr="006954A5">
        <w:rPr>
          <w:rFonts w:eastAsia="Calibri"/>
          <w:kern w:val="2"/>
          <w:lang w:eastAsia="en-GB"/>
          <w14:ligatures w14:val="standardContextual"/>
        </w:rPr>
        <w:br/>
      </w:r>
    </w:p>
    <w:p w14:paraId="3164EDA2" w14:textId="40366170" w:rsidR="00A54466" w:rsidRPr="006954A5" w:rsidRDefault="00CA3762" w:rsidP="00791070">
      <w:pPr>
        <w:pStyle w:val="ListParagraph"/>
        <w:numPr>
          <w:ilvl w:val="0"/>
          <w:numId w:val="22"/>
        </w:numPr>
        <w:rPr>
          <w:rFonts w:eastAsia="Calibri"/>
          <w:kern w:val="2"/>
          <w:lang w:eastAsia="en-GB"/>
          <w14:ligatures w14:val="standardContextual"/>
        </w:rPr>
      </w:pPr>
      <w:r w:rsidRPr="006954A5">
        <w:rPr>
          <w:rFonts w:eastAsia="Calibri"/>
          <w:kern w:val="2"/>
          <w:lang w:eastAsia="en-GB"/>
          <w14:ligatures w14:val="standardContextual"/>
        </w:rPr>
        <w:t>G</w:t>
      </w:r>
      <w:r w:rsidR="00A54466" w:rsidRPr="006954A5">
        <w:rPr>
          <w:rFonts w:eastAsia="Calibri"/>
          <w:kern w:val="2"/>
          <w:lang w:eastAsia="en-GB"/>
          <w14:ligatures w14:val="standardContextual"/>
        </w:rPr>
        <w:t xml:space="preserve">uidance within Governance and Accountability for Local Councils Practitioners Guide 2021.  </w:t>
      </w:r>
    </w:p>
    <w:p w14:paraId="28779941" w14:textId="07FD2DEE" w:rsidR="00017529" w:rsidRPr="006954A5" w:rsidRDefault="00017529" w:rsidP="00A54466">
      <w:pPr>
        <w:spacing w:after="0"/>
        <w:ind w:left="720" w:hanging="720"/>
        <w:rPr>
          <w:rFonts w:ascii="Arial" w:eastAsia="Calibri" w:hAnsi="Arial" w:cs="Arial"/>
          <w:kern w:val="2"/>
          <w:sz w:val="24"/>
          <w:szCs w:val="24"/>
          <w:lang w:eastAsia="en-GB"/>
          <w14:ligatures w14:val="standardContextual"/>
        </w:rPr>
      </w:pPr>
    </w:p>
    <w:p w14:paraId="04C19984" w14:textId="77777777" w:rsidR="00017529" w:rsidRPr="006954A5" w:rsidRDefault="00017529" w:rsidP="00017529">
      <w:pPr>
        <w:spacing w:after="0"/>
        <w:rPr>
          <w:rFonts w:ascii="Arial" w:eastAsia="Calibri" w:hAnsi="Arial" w:cs="Arial"/>
          <w:kern w:val="2"/>
          <w:sz w:val="24"/>
          <w:szCs w:val="24"/>
          <w:lang w:eastAsia="en-GB"/>
          <w14:ligatures w14:val="standardContextual"/>
        </w:rPr>
      </w:pPr>
      <w:r w:rsidRPr="006954A5">
        <w:rPr>
          <w:rFonts w:ascii="Arial" w:eastAsia="Calibri" w:hAnsi="Arial" w:cs="Arial"/>
          <w:kern w:val="2"/>
          <w:sz w:val="24"/>
          <w:szCs w:val="24"/>
          <w:lang w:eastAsia="en-GB"/>
          <w14:ligatures w14:val="standardContextual"/>
        </w:rPr>
        <w:t>2.</w:t>
      </w:r>
      <w:r w:rsidRPr="006954A5">
        <w:rPr>
          <w:rFonts w:ascii="Arial" w:eastAsia="Calibri" w:hAnsi="Arial" w:cs="Arial"/>
          <w:kern w:val="2"/>
          <w:sz w:val="24"/>
          <w:szCs w:val="24"/>
          <w:lang w:eastAsia="en-GB"/>
          <w14:ligatures w14:val="standardContextual"/>
        </w:rPr>
        <w:tab/>
      </w:r>
      <w:r w:rsidRPr="006954A5">
        <w:rPr>
          <w:rFonts w:ascii="Arial" w:eastAsia="Calibri" w:hAnsi="Arial" w:cs="Arial"/>
          <w:b/>
          <w:bCs/>
          <w:kern w:val="2"/>
          <w:sz w:val="24"/>
          <w:szCs w:val="24"/>
          <w:lang w:eastAsia="en-GB"/>
          <w14:ligatures w14:val="standardContextual"/>
        </w:rPr>
        <w:t>INVESTMENT OBJECTIVES</w:t>
      </w:r>
    </w:p>
    <w:p w14:paraId="122B1228" w14:textId="77777777" w:rsidR="00017529" w:rsidRPr="006954A5" w:rsidRDefault="00017529" w:rsidP="00017529">
      <w:pPr>
        <w:spacing w:after="0"/>
        <w:rPr>
          <w:rFonts w:ascii="Arial" w:eastAsia="Calibri" w:hAnsi="Arial" w:cs="Arial"/>
          <w:kern w:val="2"/>
          <w:sz w:val="24"/>
          <w:szCs w:val="24"/>
          <w:lang w:eastAsia="en-GB"/>
          <w14:ligatures w14:val="standardContextual"/>
        </w:rPr>
      </w:pPr>
    </w:p>
    <w:p w14:paraId="19643AA9" w14:textId="6F15F962" w:rsidR="00017529" w:rsidRPr="006954A5" w:rsidRDefault="00017529" w:rsidP="00BE6520">
      <w:pPr>
        <w:spacing w:after="0"/>
        <w:ind w:left="720" w:hanging="720"/>
        <w:rPr>
          <w:rFonts w:ascii="Arial" w:eastAsia="Calibri" w:hAnsi="Arial" w:cs="Arial"/>
          <w:kern w:val="2"/>
          <w:sz w:val="24"/>
          <w:szCs w:val="24"/>
          <w:lang w:eastAsia="en-GB"/>
          <w14:ligatures w14:val="standardContextual"/>
        </w:rPr>
      </w:pPr>
      <w:r w:rsidRPr="006954A5">
        <w:rPr>
          <w:rFonts w:ascii="Arial" w:eastAsia="Calibri" w:hAnsi="Arial" w:cs="Arial"/>
          <w:kern w:val="2"/>
          <w:sz w:val="24"/>
          <w:szCs w:val="24"/>
          <w:lang w:eastAsia="en-GB"/>
          <w14:ligatures w14:val="standardContextual"/>
        </w:rPr>
        <w:t>2.1</w:t>
      </w:r>
      <w:r w:rsidRPr="006954A5">
        <w:rPr>
          <w:rFonts w:ascii="Arial" w:eastAsia="Calibri" w:hAnsi="Arial" w:cs="Arial"/>
          <w:kern w:val="2"/>
          <w:sz w:val="24"/>
          <w:szCs w:val="24"/>
          <w:lang w:eastAsia="en-GB"/>
          <w14:ligatures w14:val="standardContextual"/>
        </w:rPr>
        <w:tab/>
        <w:t>In accordance with Sectio</w:t>
      </w:r>
      <w:r w:rsidR="00FE763D" w:rsidRPr="006954A5">
        <w:rPr>
          <w:rFonts w:ascii="Arial" w:eastAsia="Calibri" w:hAnsi="Arial" w:cs="Arial"/>
          <w:kern w:val="2"/>
          <w:sz w:val="24"/>
          <w:szCs w:val="24"/>
          <w:lang w:eastAsia="en-GB"/>
          <w14:ligatures w14:val="standardContextual"/>
        </w:rPr>
        <w:t>n</w:t>
      </w:r>
      <w:r w:rsidRPr="006954A5">
        <w:rPr>
          <w:rFonts w:ascii="Arial" w:eastAsia="Calibri" w:hAnsi="Arial" w:cs="Arial"/>
          <w:kern w:val="2"/>
          <w:sz w:val="24"/>
          <w:szCs w:val="24"/>
          <w:lang w:eastAsia="en-GB"/>
          <w14:ligatures w14:val="standardContextual"/>
        </w:rPr>
        <w:t xml:space="preserve">15 (1) of the 2003 Act, the Council will have regards to </w:t>
      </w:r>
      <w:r w:rsidR="00BE6520" w:rsidRPr="006954A5">
        <w:rPr>
          <w:rFonts w:ascii="Arial" w:eastAsia="Calibri" w:hAnsi="Arial" w:cs="Arial"/>
          <w:kern w:val="2"/>
          <w:sz w:val="24"/>
          <w:szCs w:val="24"/>
          <w:lang w:eastAsia="en-GB"/>
          <w14:ligatures w14:val="standardContextual"/>
        </w:rPr>
        <w:br/>
      </w:r>
      <w:r w:rsidR="00BE6520" w:rsidRPr="006954A5">
        <w:rPr>
          <w:rFonts w:ascii="Arial" w:eastAsia="Calibri" w:hAnsi="Arial" w:cs="Arial"/>
          <w:kern w:val="2"/>
          <w:sz w:val="24"/>
          <w:szCs w:val="24"/>
          <w:lang w:eastAsia="en-GB"/>
          <w14:ligatures w14:val="standardContextual"/>
        </w:rPr>
        <w:br/>
      </w:r>
      <w:r w:rsidRPr="006954A5">
        <w:rPr>
          <w:rFonts w:ascii="Arial" w:eastAsia="Calibri" w:hAnsi="Arial" w:cs="Arial"/>
          <w:kern w:val="2"/>
          <w:sz w:val="24"/>
          <w:szCs w:val="24"/>
          <w:lang w:eastAsia="en-GB"/>
          <w14:ligatures w14:val="standardContextual"/>
        </w:rPr>
        <w:t xml:space="preserve">(a) such guidance as the Secretary of State may issue and </w:t>
      </w:r>
      <w:r w:rsidR="009F37E4" w:rsidRPr="006954A5">
        <w:rPr>
          <w:rFonts w:ascii="Arial" w:eastAsia="Calibri" w:hAnsi="Arial" w:cs="Arial"/>
          <w:kern w:val="2"/>
          <w:sz w:val="24"/>
          <w:szCs w:val="24"/>
          <w:lang w:eastAsia="en-GB"/>
          <w14:ligatures w14:val="standardContextual"/>
        </w:rPr>
        <w:br/>
      </w:r>
      <w:r w:rsidR="00BE6520" w:rsidRPr="006954A5">
        <w:rPr>
          <w:rFonts w:ascii="Arial" w:eastAsia="Calibri" w:hAnsi="Arial" w:cs="Arial"/>
          <w:kern w:val="2"/>
          <w:sz w:val="24"/>
          <w:szCs w:val="24"/>
          <w:lang w:eastAsia="en-GB"/>
          <w14:ligatures w14:val="standardContextual"/>
        </w:rPr>
        <w:br/>
      </w:r>
      <w:r w:rsidRPr="006954A5">
        <w:rPr>
          <w:rFonts w:ascii="Arial" w:eastAsia="Calibri" w:hAnsi="Arial" w:cs="Arial"/>
          <w:kern w:val="2"/>
          <w:sz w:val="24"/>
          <w:szCs w:val="24"/>
          <w:lang w:eastAsia="en-GB"/>
          <w14:ligatures w14:val="standardContextual"/>
        </w:rPr>
        <w:t xml:space="preserve">(b) such other guidance of the Secretary of State may by regulations specify. </w:t>
      </w:r>
    </w:p>
    <w:p w14:paraId="352B2CBA" w14:textId="77777777" w:rsidR="00017529" w:rsidRPr="006954A5" w:rsidRDefault="00017529" w:rsidP="00017529">
      <w:pPr>
        <w:spacing w:after="0"/>
        <w:rPr>
          <w:rFonts w:ascii="Arial" w:eastAsia="Calibri" w:hAnsi="Arial" w:cs="Arial"/>
          <w:kern w:val="2"/>
          <w:sz w:val="24"/>
          <w:szCs w:val="24"/>
          <w:lang w:eastAsia="en-GB"/>
          <w14:ligatures w14:val="standardContextual"/>
        </w:rPr>
      </w:pPr>
    </w:p>
    <w:p w14:paraId="545FB269" w14:textId="132406FF" w:rsidR="00017529" w:rsidRPr="006954A5" w:rsidRDefault="00017529" w:rsidP="00933E93">
      <w:pPr>
        <w:spacing w:after="0"/>
        <w:ind w:left="720" w:hanging="720"/>
        <w:rPr>
          <w:rFonts w:ascii="Arial" w:eastAsia="Calibri" w:hAnsi="Arial" w:cs="Arial"/>
          <w:kern w:val="2"/>
          <w:sz w:val="24"/>
          <w:szCs w:val="24"/>
          <w:lang w:eastAsia="en-GB"/>
          <w14:ligatures w14:val="standardContextual"/>
        </w:rPr>
      </w:pPr>
      <w:r w:rsidRPr="006954A5">
        <w:rPr>
          <w:rFonts w:ascii="Arial" w:eastAsia="Calibri" w:hAnsi="Arial" w:cs="Arial"/>
          <w:kern w:val="2"/>
          <w:sz w:val="24"/>
          <w:szCs w:val="24"/>
          <w:lang w:eastAsia="en-GB"/>
          <w14:ligatures w14:val="standardContextual"/>
        </w:rPr>
        <w:t>2.2</w:t>
      </w:r>
      <w:r w:rsidRPr="006954A5">
        <w:rPr>
          <w:rFonts w:ascii="Arial" w:eastAsia="Calibri" w:hAnsi="Arial" w:cs="Arial"/>
          <w:kern w:val="2"/>
          <w:sz w:val="24"/>
          <w:szCs w:val="24"/>
          <w:lang w:eastAsia="en-GB"/>
          <w14:ligatures w14:val="standardContextual"/>
        </w:rPr>
        <w:tab/>
      </w:r>
      <w:r w:rsidR="002943AB" w:rsidRPr="006954A5">
        <w:rPr>
          <w:rFonts w:ascii="Arial" w:eastAsia="Calibri" w:hAnsi="Arial" w:cs="Arial"/>
          <w:kern w:val="2"/>
          <w:sz w:val="24"/>
          <w:szCs w:val="24"/>
          <w:lang w:eastAsia="en-GB"/>
          <w14:ligatures w14:val="standardContextual"/>
        </w:rPr>
        <w:t>The Council’s objectives when investing money is to strike an appropriate balance between risk and return, minimising the risk of incurring losses from defaults and the risk of receiving unsuitably low investment income. The Council will therefore aim to achieve the optimum return on its investments with appropriate levels of security and liquidity.</w:t>
      </w:r>
    </w:p>
    <w:p w14:paraId="1FF877BB" w14:textId="5054E029" w:rsidR="00FB559D" w:rsidRPr="006954A5" w:rsidRDefault="00FB559D" w:rsidP="00933E93">
      <w:pPr>
        <w:spacing w:after="0"/>
        <w:ind w:left="720" w:hanging="720"/>
        <w:rPr>
          <w:rFonts w:ascii="Arial" w:eastAsia="Calibri" w:hAnsi="Arial" w:cs="Arial"/>
          <w:kern w:val="2"/>
          <w:sz w:val="24"/>
          <w:szCs w:val="24"/>
          <w:lang w:eastAsia="en-GB"/>
          <w14:ligatures w14:val="standardContextual"/>
        </w:rPr>
      </w:pPr>
    </w:p>
    <w:p w14:paraId="5933FBF6" w14:textId="1E3FDC30" w:rsidR="00FB559D" w:rsidRPr="006954A5" w:rsidRDefault="00FB559D" w:rsidP="00933E93">
      <w:pPr>
        <w:spacing w:after="0"/>
        <w:ind w:left="720" w:hanging="720"/>
        <w:rPr>
          <w:rFonts w:ascii="Arial" w:eastAsia="Calibri" w:hAnsi="Arial" w:cs="Arial"/>
          <w:kern w:val="2"/>
          <w:sz w:val="24"/>
          <w:szCs w:val="24"/>
          <w:lang w:eastAsia="en-GB"/>
          <w14:ligatures w14:val="standardContextual"/>
        </w:rPr>
      </w:pPr>
      <w:r w:rsidRPr="006954A5">
        <w:rPr>
          <w:rFonts w:ascii="Arial" w:eastAsia="Calibri" w:hAnsi="Arial" w:cs="Arial"/>
          <w:kern w:val="2"/>
          <w:sz w:val="24"/>
          <w:szCs w:val="24"/>
          <w:lang w:eastAsia="en-GB"/>
          <w14:ligatures w14:val="standardContextual"/>
        </w:rPr>
        <w:t>2.3</w:t>
      </w:r>
      <w:r w:rsidRPr="006954A5">
        <w:rPr>
          <w:rFonts w:ascii="Arial" w:eastAsia="Calibri" w:hAnsi="Arial" w:cs="Arial"/>
          <w:kern w:val="2"/>
          <w:sz w:val="24"/>
          <w:szCs w:val="24"/>
          <w:lang w:eastAsia="en-GB"/>
          <w14:ligatures w14:val="standardContextual"/>
        </w:rPr>
        <w:tab/>
      </w:r>
      <w:r w:rsidR="000521FF" w:rsidRPr="006954A5">
        <w:rPr>
          <w:rFonts w:ascii="Arial" w:eastAsia="Calibri" w:hAnsi="Arial" w:cs="Arial"/>
          <w:kern w:val="2"/>
          <w:sz w:val="24"/>
          <w:szCs w:val="24"/>
          <w:lang w:eastAsia="en-GB"/>
          <w14:ligatures w14:val="standardContextual"/>
        </w:rPr>
        <w:t>The Council investment priorities therefore are, in order of importance:</w:t>
      </w:r>
      <w:r w:rsidR="004508FC" w:rsidRPr="006954A5">
        <w:rPr>
          <w:rFonts w:ascii="Arial" w:eastAsia="Calibri" w:hAnsi="Arial" w:cs="Arial"/>
          <w:kern w:val="2"/>
          <w:sz w:val="24"/>
          <w:szCs w:val="24"/>
          <w:lang w:eastAsia="en-GB"/>
          <w14:ligatures w14:val="standardContextual"/>
        </w:rPr>
        <w:br/>
      </w:r>
      <w:r w:rsidR="004508FC" w:rsidRPr="006954A5">
        <w:rPr>
          <w:rFonts w:ascii="Arial" w:eastAsia="Calibri" w:hAnsi="Arial" w:cs="Arial"/>
          <w:kern w:val="2"/>
          <w:sz w:val="24"/>
          <w:szCs w:val="24"/>
          <w:lang w:eastAsia="en-GB"/>
          <w14:ligatures w14:val="standardContextual"/>
        </w:rPr>
        <w:br/>
      </w:r>
      <w:r w:rsidR="000521FF" w:rsidRPr="006954A5">
        <w:rPr>
          <w:rFonts w:ascii="Arial" w:eastAsia="Calibri" w:hAnsi="Arial" w:cs="Arial"/>
          <w:kern w:val="2"/>
          <w:sz w:val="24"/>
          <w:szCs w:val="24"/>
          <w:lang w:eastAsia="en-GB"/>
          <w14:ligatures w14:val="standardContextual"/>
        </w:rPr>
        <w:sym w:font="Symbol" w:char="F0B7"/>
      </w:r>
      <w:r w:rsidR="000521FF" w:rsidRPr="006954A5">
        <w:rPr>
          <w:rFonts w:ascii="Arial" w:eastAsia="Calibri" w:hAnsi="Arial" w:cs="Arial"/>
          <w:kern w:val="2"/>
          <w:sz w:val="24"/>
          <w:szCs w:val="24"/>
          <w:lang w:eastAsia="en-GB"/>
          <w14:ligatures w14:val="standardContextual"/>
        </w:rPr>
        <w:t xml:space="preserve"> The security of its reserves</w:t>
      </w:r>
      <w:r w:rsidR="004508FC" w:rsidRPr="006954A5">
        <w:rPr>
          <w:rFonts w:ascii="Arial" w:eastAsia="Calibri" w:hAnsi="Arial" w:cs="Arial"/>
          <w:kern w:val="2"/>
          <w:sz w:val="24"/>
          <w:szCs w:val="24"/>
          <w:lang w:eastAsia="en-GB"/>
          <w14:ligatures w14:val="standardContextual"/>
        </w:rPr>
        <w:t>.</w:t>
      </w:r>
      <w:r w:rsidR="000521FF" w:rsidRPr="006954A5">
        <w:rPr>
          <w:rFonts w:ascii="Arial" w:eastAsia="Calibri" w:hAnsi="Arial" w:cs="Arial"/>
          <w:kern w:val="2"/>
          <w:sz w:val="24"/>
          <w:szCs w:val="24"/>
          <w:lang w:eastAsia="en-GB"/>
          <w14:ligatures w14:val="standardContextual"/>
        </w:rPr>
        <w:br/>
      </w:r>
      <w:r w:rsidR="000521FF" w:rsidRPr="006954A5">
        <w:rPr>
          <w:rFonts w:ascii="Arial" w:eastAsia="Calibri" w:hAnsi="Arial" w:cs="Arial"/>
          <w:kern w:val="2"/>
          <w:sz w:val="24"/>
          <w:szCs w:val="24"/>
          <w:lang w:eastAsia="en-GB"/>
          <w14:ligatures w14:val="standardContextual"/>
        </w:rPr>
        <w:sym w:font="Symbol" w:char="F0B7"/>
      </w:r>
      <w:r w:rsidR="000521FF" w:rsidRPr="006954A5">
        <w:rPr>
          <w:rFonts w:ascii="Arial" w:eastAsia="Calibri" w:hAnsi="Arial" w:cs="Arial"/>
          <w:kern w:val="2"/>
          <w:sz w:val="24"/>
          <w:szCs w:val="24"/>
          <w:lang w:eastAsia="en-GB"/>
          <w14:ligatures w14:val="standardContextual"/>
        </w:rPr>
        <w:t xml:space="preserve"> The adequate liquidity of its investments</w:t>
      </w:r>
      <w:r w:rsidR="004508FC" w:rsidRPr="006954A5">
        <w:rPr>
          <w:rFonts w:ascii="Arial" w:eastAsia="Calibri" w:hAnsi="Arial" w:cs="Arial"/>
          <w:kern w:val="2"/>
          <w:sz w:val="24"/>
          <w:szCs w:val="24"/>
          <w:lang w:eastAsia="en-GB"/>
          <w14:ligatures w14:val="standardContextual"/>
        </w:rPr>
        <w:t>.</w:t>
      </w:r>
      <w:r w:rsidR="000521FF" w:rsidRPr="006954A5">
        <w:rPr>
          <w:rFonts w:ascii="Arial" w:eastAsia="Calibri" w:hAnsi="Arial" w:cs="Arial"/>
          <w:kern w:val="2"/>
          <w:sz w:val="24"/>
          <w:szCs w:val="24"/>
          <w:lang w:eastAsia="en-GB"/>
          <w14:ligatures w14:val="standardContextual"/>
        </w:rPr>
        <w:br/>
      </w:r>
      <w:r w:rsidR="000521FF" w:rsidRPr="006954A5">
        <w:rPr>
          <w:rFonts w:ascii="Arial" w:eastAsia="Calibri" w:hAnsi="Arial" w:cs="Arial"/>
          <w:kern w:val="2"/>
          <w:sz w:val="24"/>
          <w:szCs w:val="24"/>
          <w:lang w:eastAsia="en-GB"/>
          <w14:ligatures w14:val="standardContextual"/>
        </w:rPr>
        <w:sym w:font="Symbol" w:char="F0B7"/>
      </w:r>
      <w:r w:rsidR="000521FF" w:rsidRPr="006954A5">
        <w:rPr>
          <w:rFonts w:ascii="Arial" w:eastAsia="Calibri" w:hAnsi="Arial" w:cs="Arial"/>
          <w:kern w:val="2"/>
          <w:sz w:val="24"/>
          <w:szCs w:val="24"/>
          <w:lang w:eastAsia="en-GB"/>
          <w14:ligatures w14:val="standardContextual"/>
        </w:rPr>
        <w:t xml:space="preserve"> The return (yield) on </w:t>
      </w:r>
      <w:r w:rsidR="004508FC" w:rsidRPr="006954A5">
        <w:rPr>
          <w:rFonts w:ascii="Arial" w:eastAsia="Calibri" w:hAnsi="Arial" w:cs="Arial"/>
          <w:kern w:val="2"/>
          <w:sz w:val="24"/>
          <w:szCs w:val="24"/>
          <w:lang w:eastAsia="en-GB"/>
          <w14:ligatures w14:val="standardContextual"/>
        </w:rPr>
        <w:t>investments.</w:t>
      </w:r>
    </w:p>
    <w:p w14:paraId="764C53FD" w14:textId="77777777" w:rsidR="00017529" w:rsidRPr="006954A5" w:rsidRDefault="00017529" w:rsidP="00017529">
      <w:pPr>
        <w:spacing w:after="0"/>
        <w:rPr>
          <w:rFonts w:ascii="Arial" w:eastAsia="Calibri" w:hAnsi="Arial" w:cs="Arial"/>
          <w:kern w:val="2"/>
          <w:sz w:val="24"/>
          <w:szCs w:val="24"/>
          <w:lang w:eastAsia="en-GB"/>
          <w14:ligatures w14:val="standardContextual"/>
        </w:rPr>
      </w:pPr>
    </w:p>
    <w:p w14:paraId="693EF5B0" w14:textId="6DC4F75D" w:rsidR="00017529" w:rsidRPr="006954A5" w:rsidRDefault="00017529" w:rsidP="00017529">
      <w:pPr>
        <w:spacing w:after="0"/>
        <w:rPr>
          <w:rFonts w:ascii="Arial" w:eastAsia="Calibri" w:hAnsi="Arial" w:cs="Arial"/>
          <w:kern w:val="2"/>
          <w:sz w:val="24"/>
          <w:szCs w:val="24"/>
          <w:lang w:eastAsia="en-GB"/>
          <w14:ligatures w14:val="standardContextual"/>
        </w:rPr>
      </w:pPr>
      <w:r w:rsidRPr="006954A5">
        <w:rPr>
          <w:rFonts w:ascii="Arial" w:eastAsia="Calibri" w:hAnsi="Arial" w:cs="Arial"/>
          <w:kern w:val="2"/>
          <w:sz w:val="24"/>
          <w:szCs w:val="24"/>
          <w:lang w:eastAsia="en-GB"/>
          <w14:ligatures w14:val="standardContextual"/>
        </w:rPr>
        <w:t>2.</w:t>
      </w:r>
      <w:r w:rsidR="006954A5">
        <w:rPr>
          <w:rFonts w:ascii="Arial" w:eastAsia="Calibri" w:hAnsi="Arial" w:cs="Arial"/>
          <w:kern w:val="2"/>
          <w:sz w:val="24"/>
          <w:szCs w:val="24"/>
          <w:lang w:eastAsia="en-GB"/>
          <w14:ligatures w14:val="standardContextual"/>
        </w:rPr>
        <w:t>4</w:t>
      </w:r>
      <w:r w:rsidRPr="006954A5">
        <w:rPr>
          <w:rFonts w:ascii="Arial" w:eastAsia="Calibri" w:hAnsi="Arial" w:cs="Arial"/>
          <w:kern w:val="2"/>
          <w:sz w:val="24"/>
          <w:szCs w:val="24"/>
          <w:lang w:eastAsia="en-GB"/>
          <w14:ligatures w14:val="standardContextual"/>
        </w:rPr>
        <w:tab/>
        <w:t>All investments will be made in sterling.</w:t>
      </w:r>
    </w:p>
    <w:p w14:paraId="2F64469E" w14:textId="77777777" w:rsidR="00017529" w:rsidRPr="006954A5" w:rsidRDefault="00017529" w:rsidP="00017529">
      <w:pPr>
        <w:spacing w:after="0"/>
        <w:rPr>
          <w:rFonts w:ascii="Arial" w:eastAsia="Calibri" w:hAnsi="Arial" w:cs="Arial"/>
          <w:kern w:val="2"/>
          <w:sz w:val="24"/>
          <w:szCs w:val="24"/>
          <w:lang w:eastAsia="en-GB"/>
          <w14:ligatures w14:val="standardContextual"/>
        </w:rPr>
      </w:pPr>
    </w:p>
    <w:p w14:paraId="34F5E188" w14:textId="5268CC6B" w:rsidR="00017529" w:rsidRPr="006954A5" w:rsidRDefault="00017529" w:rsidP="00D237E4">
      <w:pPr>
        <w:spacing w:after="0"/>
        <w:ind w:left="720" w:hanging="720"/>
        <w:rPr>
          <w:rFonts w:ascii="Arial" w:eastAsia="Calibri" w:hAnsi="Arial" w:cs="Arial"/>
          <w:kern w:val="2"/>
          <w:sz w:val="24"/>
          <w:szCs w:val="24"/>
          <w:lang w:eastAsia="en-GB"/>
          <w14:ligatures w14:val="standardContextual"/>
        </w:rPr>
      </w:pPr>
      <w:r w:rsidRPr="006954A5">
        <w:rPr>
          <w:rFonts w:ascii="Arial" w:eastAsia="Calibri" w:hAnsi="Arial" w:cs="Arial"/>
          <w:kern w:val="2"/>
          <w:sz w:val="24"/>
          <w:szCs w:val="24"/>
          <w:lang w:eastAsia="en-GB"/>
          <w14:ligatures w14:val="standardContextual"/>
        </w:rPr>
        <w:t>2.</w:t>
      </w:r>
      <w:r w:rsidR="006954A5">
        <w:rPr>
          <w:rFonts w:ascii="Arial" w:eastAsia="Calibri" w:hAnsi="Arial" w:cs="Arial"/>
          <w:kern w:val="2"/>
          <w:sz w:val="24"/>
          <w:szCs w:val="24"/>
          <w:lang w:eastAsia="en-GB"/>
          <w14:ligatures w14:val="standardContextual"/>
        </w:rPr>
        <w:t>5</w:t>
      </w:r>
      <w:r w:rsidRPr="006954A5">
        <w:rPr>
          <w:rFonts w:ascii="Arial" w:eastAsia="Calibri" w:hAnsi="Arial" w:cs="Arial"/>
          <w:kern w:val="2"/>
          <w:sz w:val="24"/>
          <w:szCs w:val="24"/>
          <w:lang w:eastAsia="en-GB"/>
          <w14:ligatures w14:val="standardContextual"/>
        </w:rPr>
        <w:tab/>
        <w:t>The Ministry for Housing Communities and Local Government maintains the borrowing of money purely to invest or to lend and make a return is unlawful and the Council will not engage in such activity.</w:t>
      </w:r>
    </w:p>
    <w:p w14:paraId="57D9F8D8" w14:textId="77777777" w:rsidR="00017529" w:rsidRPr="006954A5" w:rsidRDefault="00017529" w:rsidP="00017529">
      <w:pPr>
        <w:spacing w:after="0"/>
        <w:rPr>
          <w:rFonts w:ascii="Arial" w:eastAsia="Calibri" w:hAnsi="Arial" w:cs="Arial"/>
          <w:kern w:val="2"/>
          <w:sz w:val="24"/>
          <w:szCs w:val="24"/>
          <w:lang w:eastAsia="en-GB"/>
          <w14:ligatures w14:val="standardContextual"/>
        </w:rPr>
      </w:pPr>
    </w:p>
    <w:p w14:paraId="602C5986" w14:textId="05D6F521" w:rsidR="00017529" w:rsidRPr="006954A5" w:rsidRDefault="00017529" w:rsidP="005B0886">
      <w:pPr>
        <w:spacing w:after="0"/>
        <w:ind w:left="720" w:hanging="720"/>
        <w:rPr>
          <w:rFonts w:ascii="Arial" w:eastAsia="Calibri" w:hAnsi="Arial" w:cs="Arial"/>
          <w:kern w:val="2"/>
          <w:sz w:val="24"/>
          <w:szCs w:val="24"/>
          <w:lang w:eastAsia="en-GB"/>
          <w14:ligatures w14:val="standardContextual"/>
        </w:rPr>
      </w:pPr>
      <w:r w:rsidRPr="006954A5">
        <w:rPr>
          <w:rFonts w:ascii="Arial" w:eastAsia="Calibri" w:hAnsi="Arial" w:cs="Arial"/>
          <w:kern w:val="2"/>
          <w:sz w:val="24"/>
          <w:szCs w:val="24"/>
          <w:lang w:eastAsia="en-GB"/>
          <w14:ligatures w14:val="standardContextual"/>
        </w:rPr>
        <w:t>2.</w:t>
      </w:r>
      <w:r w:rsidR="006954A5">
        <w:rPr>
          <w:rFonts w:ascii="Arial" w:eastAsia="Calibri" w:hAnsi="Arial" w:cs="Arial"/>
          <w:kern w:val="2"/>
          <w:sz w:val="24"/>
          <w:szCs w:val="24"/>
          <w:lang w:eastAsia="en-GB"/>
          <w14:ligatures w14:val="standardContextual"/>
        </w:rPr>
        <w:t>6</w:t>
      </w:r>
      <w:r w:rsidRPr="006954A5">
        <w:rPr>
          <w:rFonts w:ascii="Arial" w:eastAsia="Calibri" w:hAnsi="Arial" w:cs="Arial"/>
          <w:kern w:val="2"/>
          <w:sz w:val="24"/>
          <w:szCs w:val="24"/>
          <w:lang w:eastAsia="en-GB"/>
          <w14:ligatures w14:val="standardContextual"/>
        </w:rPr>
        <w:tab/>
      </w:r>
      <w:r w:rsidR="00A56E64" w:rsidRPr="006954A5">
        <w:rPr>
          <w:rFonts w:ascii="Arial" w:eastAsia="Calibri" w:hAnsi="Arial" w:cs="Arial"/>
          <w:kern w:val="2"/>
          <w:sz w:val="24"/>
          <w:szCs w:val="24"/>
          <w:lang w:eastAsia="en-GB"/>
          <w14:ligatures w14:val="standardContextual"/>
        </w:rPr>
        <w:t>Investments in pooled funds have the advantage of providing wide diversification of investment risks, coupled with the services of a professional fund manager in return for a fee. Short-term money market funds offering same –day liquidity and very low or now volatility provide an alternative to instant access bank accounts.</w:t>
      </w:r>
    </w:p>
    <w:p w14:paraId="20734877" w14:textId="77777777" w:rsidR="00017529" w:rsidRPr="006954A5" w:rsidRDefault="00017529" w:rsidP="00017529">
      <w:pPr>
        <w:spacing w:after="0"/>
        <w:rPr>
          <w:rFonts w:ascii="Arial" w:eastAsia="Calibri" w:hAnsi="Arial" w:cs="Arial"/>
          <w:kern w:val="2"/>
          <w:sz w:val="24"/>
          <w:szCs w:val="24"/>
          <w:lang w:eastAsia="en-GB"/>
          <w14:ligatures w14:val="standardContextual"/>
        </w:rPr>
      </w:pPr>
    </w:p>
    <w:p w14:paraId="41792295" w14:textId="217962BE" w:rsidR="00017529" w:rsidRPr="006954A5" w:rsidRDefault="00017529" w:rsidP="007915C9">
      <w:pPr>
        <w:ind w:left="720" w:hanging="725"/>
        <w:rPr>
          <w:rFonts w:ascii="Arial" w:eastAsia="Calibri" w:hAnsi="Arial" w:cs="Arial"/>
          <w:kern w:val="2"/>
          <w:sz w:val="24"/>
          <w:szCs w:val="24"/>
          <w:lang w:eastAsia="en-GB"/>
          <w14:ligatures w14:val="standardContextual"/>
        </w:rPr>
      </w:pPr>
      <w:r w:rsidRPr="006954A5">
        <w:rPr>
          <w:rFonts w:ascii="Arial" w:eastAsia="Calibri" w:hAnsi="Arial" w:cs="Arial"/>
          <w:kern w:val="2"/>
          <w:sz w:val="24"/>
          <w:szCs w:val="24"/>
          <w:lang w:eastAsia="en-GB"/>
          <w14:ligatures w14:val="standardContextual"/>
        </w:rPr>
        <w:t>2.</w:t>
      </w:r>
      <w:r w:rsidR="006954A5">
        <w:rPr>
          <w:rFonts w:ascii="Arial" w:eastAsia="Calibri" w:hAnsi="Arial" w:cs="Arial"/>
          <w:kern w:val="2"/>
          <w:sz w:val="24"/>
          <w:szCs w:val="24"/>
          <w:lang w:eastAsia="en-GB"/>
          <w14:ligatures w14:val="standardContextual"/>
        </w:rPr>
        <w:t>7</w:t>
      </w:r>
      <w:r w:rsidRPr="006954A5">
        <w:rPr>
          <w:rFonts w:ascii="Arial" w:eastAsia="Calibri" w:hAnsi="Arial" w:cs="Arial"/>
          <w:kern w:val="2"/>
          <w:sz w:val="24"/>
          <w:szCs w:val="24"/>
          <w:lang w:eastAsia="en-GB"/>
          <w14:ligatures w14:val="standardContextual"/>
        </w:rPr>
        <w:tab/>
        <w:t>The amount of any specified investment can be up to 100% of the Council’s available funds for investing.</w:t>
      </w:r>
    </w:p>
    <w:p w14:paraId="5F308EA3" w14:textId="77777777" w:rsidR="00017529" w:rsidRPr="006954A5" w:rsidRDefault="00017529" w:rsidP="00017529">
      <w:pPr>
        <w:spacing w:after="0"/>
        <w:rPr>
          <w:rFonts w:ascii="Arial" w:eastAsia="Calibri" w:hAnsi="Arial" w:cs="Arial"/>
          <w:kern w:val="2"/>
          <w:sz w:val="24"/>
          <w:szCs w:val="24"/>
          <w:lang w:eastAsia="en-GB"/>
          <w14:ligatures w14:val="standardContextual"/>
        </w:rPr>
      </w:pPr>
    </w:p>
    <w:p w14:paraId="64DCDB41" w14:textId="77777777" w:rsidR="00017529" w:rsidRPr="006954A5" w:rsidRDefault="00017529" w:rsidP="00017529">
      <w:pPr>
        <w:spacing w:after="0"/>
        <w:rPr>
          <w:rFonts w:ascii="Arial" w:eastAsia="Calibri" w:hAnsi="Arial" w:cs="Arial"/>
          <w:b/>
          <w:bCs/>
          <w:kern w:val="2"/>
          <w:sz w:val="24"/>
          <w:szCs w:val="24"/>
          <w:lang w:eastAsia="en-GB"/>
          <w14:ligatures w14:val="standardContextual"/>
        </w:rPr>
      </w:pPr>
      <w:r w:rsidRPr="006954A5">
        <w:rPr>
          <w:rFonts w:ascii="Arial" w:eastAsia="Calibri" w:hAnsi="Arial" w:cs="Arial"/>
          <w:kern w:val="2"/>
          <w:sz w:val="24"/>
          <w:szCs w:val="24"/>
          <w:lang w:eastAsia="en-GB"/>
          <w14:ligatures w14:val="standardContextual"/>
        </w:rPr>
        <w:t>3.</w:t>
      </w:r>
      <w:r w:rsidRPr="006954A5">
        <w:rPr>
          <w:rFonts w:ascii="Arial" w:eastAsia="Calibri" w:hAnsi="Arial" w:cs="Arial"/>
          <w:kern w:val="2"/>
          <w:sz w:val="24"/>
          <w:szCs w:val="24"/>
          <w:lang w:eastAsia="en-GB"/>
          <w14:ligatures w14:val="standardContextual"/>
        </w:rPr>
        <w:tab/>
      </w:r>
      <w:r w:rsidRPr="006954A5">
        <w:rPr>
          <w:rFonts w:ascii="Arial" w:eastAsia="Calibri" w:hAnsi="Arial" w:cs="Arial"/>
          <w:b/>
          <w:bCs/>
          <w:kern w:val="2"/>
          <w:sz w:val="24"/>
          <w:szCs w:val="24"/>
          <w:lang w:eastAsia="en-GB"/>
          <w14:ligatures w14:val="standardContextual"/>
        </w:rPr>
        <w:t>SPECIFIED INVESTMENTS</w:t>
      </w:r>
    </w:p>
    <w:p w14:paraId="07D436DE" w14:textId="77777777" w:rsidR="00017529" w:rsidRPr="006954A5" w:rsidRDefault="00017529" w:rsidP="00017529">
      <w:pPr>
        <w:spacing w:after="0"/>
        <w:rPr>
          <w:rFonts w:ascii="Arial" w:eastAsia="Calibri" w:hAnsi="Arial" w:cs="Arial"/>
          <w:kern w:val="2"/>
          <w:sz w:val="24"/>
          <w:szCs w:val="24"/>
          <w:lang w:eastAsia="en-GB"/>
          <w14:ligatures w14:val="standardContextual"/>
        </w:rPr>
      </w:pPr>
    </w:p>
    <w:p w14:paraId="2F413846" w14:textId="651CC8F6" w:rsidR="00017529" w:rsidRPr="006954A5" w:rsidRDefault="00017529" w:rsidP="00BB3A17">
      <w:pPr>
        <w:spacing w:after="0"/>
        <w:ind w:left="720" w:hanging="720"/>
        <w:rPr>
          <w:rFonts w:ascii="Arial" w:eastAsia="Calibri" w:hAnsi="Arial" w:cs="Arial"/>
          <w:kern w:val="2"/>
          <w:sz w:val="24"/>
          <w:szCs w:val="24"/>
          <w:lang w:eastAsia="en-GB"/>
          <w14:ligatures w14:val="standardContextual"/>
        </w:rPr>
      </w:pPr>
      <w:r w:rsidRPr="006954A5">
        <w:rPr>
          <w:rFonts w:ascii="Arial" w:eastAsia="Calibri" w:hAnsi="Arial" w:cs="Arial"/>
          <w:kern w:val="2"/>
          <w:sz w:val="24"/>
          <w:szCs w:val="24"/>
          <w:lang w:eastAsia="en-GB"/>
          <w14:ligatures w14:val="standardContextual"/>
        </w:rPr>
        <w:t>3.1</w:t>
      </w:r>
      <w:r w:rsidRPr="006954A5">
        <w:rPr>
          <w:rFonts w:ascii="Arial" w:eastAsia="Calibri" w:hAnsi="Arial" w:cs="Arial"/>
          <w:kern w:val="2"/>
          <w:sz w:val="24"/>
          <w:szCs w:val="24"/>
          <w:lang w:eastAsia="en-GB"/>
          <w14:ligatures w14:val="standardContextual"/>
        </w:rPr>
        <w:tab/>
        <w:t xml:space="preserve">Specified investments are those offering high security and high liquidity made in sterling and with a maturing of no more than a year.  Such </w:t>
      </w:r>
      <w:r w:rsidR="00456DFF" w:rsidRPr="006954A5">
        <w:rPr>
          <w:rFonts w:ascii="Arial" w:eastAsia="Calibri" w:hAnsi="Arial" w:cs="Arial"/>
          <w:kern w:val="2"/>
          <w:sz w:val="24"/>
          <w:szCs w:val="24"/>
          <w:lang w:eastAsia="en-GB"/>
          <w14:ligatures w14:val="standardContextual"/>
        </w:rPr>
        <w:t>short-term</w:t>
      </w:r>
      <w:r w:rsidRPr="006954A5">
        <w:rPr>
          <w:rFonts w:ascii="Arial" w:eastAsia="Calibri" w:hAnsi="Arial" w:cs="Arial"/>
          <w:kern w:val="2"/>
          <w:sz w:val="24"/>
          <w:szCs w:val="24"/>
          <w:lang w:eastAsia="en-GB"/>
          <w14:ligatures w14:val="standardContextual"/>
        </w:rPr>
        <w:t xml:space="preserve"> investments made with the UK </w:t>
      </w:r>
      <w:r w:rsidR="008E74C2" w:rsidRPr="006954A5">
        <w:rPr>
          <w:rFonts w:ascii="Arial" w:eastAsia="Calibri" w:hAnsi="Arial" w:cs="Arial"/>
          <w:kern w:val="2"/>
          <w:sz w:val="24"/>
          <w:szCs w:val="24"/>
          <w:lang w:eastAsia="en-GB"/>
          <w14:ligatures w14:val="standardContextual"/>
        </w:rPr>
        <w:t>Government,</w:t>
      </w:r>
      <w:r w:rsidRPr="006954A5">
        <w:rPr>
          <w:rFonts w:ascii="Arial" w:eastAsia="Calibri" w:hAnsi="Arial" w:cs="Arial"/>
          <w:kern w:val="2"/>
          <w:sz w:val="24"/>
          <w:szCs w:val="24"/>
          <w:lang w:eastAsia="en-GB"/>
          <w14:ligatures w14:val="standardContextual"/>
        </w:rPr>
        <w:t xml:space="preserve"> or a Local Authority or Town and Parish Council will automatically be specified investments</w:t>
      </w:r>
      <w:r w:rsidR="00BB3A17" w:rsidRPr="006954A5">
        <w:rPr>
          <w:rFonts w:ascii="Arial" w:eastAsia="Calibri" w:hAnsi="Arial" w:cs="Arial"/>
          <w:kern w:val="2"/>
          <w:sz w:val="24"/>
          <w:szCs w:val="24"/>
          <w:lang w:eastAsia="en-GB"/>
          <w14:ligatures w14:val="standardContextual"/>
        </w:rPr>
        <w:t>.</w:t>
      </w:r>
      <w:r w:rsidR="005770E5" w:rsidRPr="006954A5">
        <w:rPr>
          <w:rFonts w:ascii="Arial" w:eastAsia="Calibri" w:hAnsi="Arial" w:cs="Arial"/>
          <w:kern w:val="2"/>
          <w:sz w:val="24"/>
          <w:szCs w:val="24"/>
          <w:lang w:eastAsia="en-GB"/>
          <w14:ligatures w14:val="standardContextual"/>
        </w:rPr>
        <w:tab/>
      </w:r>
    </w:p>
    <w:p w14:paraId="74189D35" w14:textId="77777777" w:rsidR="00017529" w:rsidRPr="006954A5" w:rsidRDefault="00017529" w:rsidP="00017529">
      <w:pPr>
        <w:spacing w:after="0"/>
        <w:rPr>
          <w:rFonts w:ascii="Arial" w:eastAsia="Calibri" w:hAnsi="Arial" w:cs="Arial"/>
          <w:kern w:val="2"/>
          <w:sz w:val="24"/>
          <w:szCs w:val="24"/>
          <w:lang w:eastAsia="en-GB"/>
          <w14:ligatures w14:val="standardContextual"/>
        </w:rPr>
      </w:pPr>
    </w:p>
    <w:p w14:paraId="6F53FAE7" w14:textId="77777777" w:rsidR="00017529" w:rsidRPr="006954A5" w:rsidRDefault="00017529" w:rsidP="00993F51">
      <w:pPr>
        <w:spacing w:after="0"/>
        <w:ind w:left="720" w:hanging="720"/>
        <w:rPr>
          <w:rFonts w:ascii="Arial" w:eastAsia="Calibri" w:hAnsi="Arial" w:cs="Arial"/>
          <w:kern w:val="2"/>
          <w:sz w:val="24"/>
          <w:szCs w:val="24"/>
          <w:lang w:eastAsia="en-GB"/>
          <w14:ligatures w14:val="standardContextual"/>
        </w:rPr>
      </w:pPr>
      <w:r w:rsidRPr="006954A5">
        <w:rPr>
          <w:rFonts w:ascii="Arial" w:eastAsia="Calibri" w:hAnsi="Arial" w:cs="Arial"/>
          <w:kern w:val="2"/>
          <w:sz w:val="24"/>
          <w:szCs w:val="24"/>
          <w:lang w:eastAsia="en-GB"/>
          <w14:ligatures w14:val="standardContextual"/>
        </w:rPr>
        <w:t>3.2</w:t>
      </w:r>
      <w:r w:rsidRPr="006954A5">
        <w:rPr>
          <w:rFonts w:ascii="Arial" w:eastAsia="Calibri" w:hAnsi="Arial" w:cs="Arial"/>
          <w:kern w:val="2"/>
          <w:sz w:val="24"/>
          <w:szCs w:val="24"/>
          <w:lang w:eastAsia="en-GB"/>
          <w14:ligatures w14:val="standardContextual"/>
        </w:rPr>
        <w:tab/>
        <w:t>For the prudent management of its treasury balances maintaining sufficient levels of security and liquidity, the Council will use:</w:t>
      </w:r>
    </w:p>
    <w:p w14:paraId="03CD6B7B" w14:textId="77777777" w:rsidR="00017529" w:rsidRPr="006954A5" w:rsidRDefault="00017529" w:rsidP="00017529">
      <w:pPr>
        <w:spacing w:after="0"/>
        <w:rPr>
          <w:rFonts w:ascii="Arial" w:eastAsia="Calibri" w:hAnsi="Arial" w:cs="Arial"/>
          <w:kern w:val="2"/>
          <w:sz w:val="24"/>
          <w:szCs w:val="24"/>
          <w:lang w:eastAsia="en-GB"/>
          <w14:ligatures w14:val="standardContextual"/>
        </w:rPr>
      </w:pPr>
    </w:p>
    <w:p w14:paraId="7AA0EF06" w14:textId="77777777" w:rsidR="00017529" w:rsidRPr="006954A5" w:rsidRDefault="00017529" w:rsidP="00017529">
      <w:pPr>
        <w:numPr>
          <w:ilvl w:val="0"/>
          <w:numId w:val="16"/>
        </w:numPr>
        <w:spacing w:after="0"/>
        <w:rPr>
          <w:rFonts w:ascii="Arial" w:eastAsia="Calibri" w:hAnsi="Arial" w:cs="Arial"/>
          <w:kern w:val="2"/>
          <w:sz w:val="24"/>
          <w:szCs w:val="24"/>
          <w:lang w:eastAsia="en-GB"/>
          <w14:ligatures w14:val="standardContextual"/>
        </w:rPr>
      </w:pPr>
      <w:r w:rsidRPr="006954A5">
        <w:rPr>
          <w:rFonts w:ascii="Arial" w:eastAsia="Calibri" w:hAnsi="Arial" w:cs="Arial"/>
          <w:kern w:val="2"/>
          <w:sz w:val="24"/>
          <w:szCs w:val="24"/>
          <w:lang w:eastAsia="en-GB"/>
          <w14:ligatures w14:val="standardContextual"/>
        </w:rPr>
        <w:t>Deposits with banks, building societies, local authorities, other public authorities or other AA rated public sector deposit/ investment funds.</w:t>
      </w:r>
    </w:p>
    <w:p w14:paraId="75C3E88A" w14:textId="77777777" w:rsidR="005D0887" w:rsidRPr="006954A5" w:rsidRDefault="00017529" w:rsidP="00617688">
      <w:pPr>
        <w:numPr>
          <w:ilvl w:val="0"/>
          <w:numId w:val="16"/>
        </w:numPr>
        <w:spacing w:after="0"/>
        <w:rPr>
          <w:rFonts w:ascii="Arial" w:eastAsia="Calibri" w:hAnsi="Arial" w:cs="Arial"/>
          <w:kern w:val="2"/>
          <w:sz w:val="24"/>
          <w:szCs w:val="24"/>
          <w:lang w:eastAsia="en-GB"/>
          <w14:ligatures w14:val="standardContextual"/>
        </w:rPr>
      </w:pPr>
      <w:r w:rsidRPr="006954A5">
        <w:rPr>
          <w:rFonts w:ascii="Arial" w:eastAsia="Calibri" w:hAnsi="Arial" w:cs="Arial"/>
          <w:kern w:val="2"/>
          <w:sz w:val="24"/>
          <w:szCs w:val="24"/>
          <w:lang w:eastAsia="en-GB"/>
          <w14:ligatures w14:val="standardContextual"/>
        </w:rPr>
        <w:t>The Debt Management Agency of HM Government</w:t>
      </w:r>
    </w:p>
    <w:p w14:paraId="0EAA7D93" w14:textId="43276170" w:rsidR="005D0887" w:rsidRPr="006954A5" w:rsidRDefault="005D0887" w:rsidP="005D0887">
      <w:pPr>
        <w:spacing w:after="0"/>
        <w:rPr>
          <w:rFonts w:ascii="Arial" w:eastAsia="Calibri" w:hAnsi="Arial" w:cs="Arial"/>
          <w:kern w:val="2"/>
          <w:sz w:val="24"/>
          <w:szCs w:val="24"/>
          <w:lang w:eastAsia="en-GB"/>
          <w14:ligatures w14:val="standardContextual"/>
        </w:rPr>
      </w:pPr>
      <w:r w:rsidRPr="006954A5">
        <w:rPr>
          <w:rFonts w:ascii="Arial" w:eastAsia="Calibri" w:hAnsi="Arial" w:cs="Arial"/>
          <w:kern w:val="2"/>
          <w:sz w:val="24"/>
          <w:szCs w:val="24"/>
          <w:lang w:eastAsia="en-GB"/>
          <w14:ligatures w14:val="standardContextual"/>
        </w:rPr>
        <w:br/>
        <w:t>3.3</w:t>
      </w:r>
      <w:r w:rsidRPr="006954A5">
        <w:rPr>
          <w:rFonts w:ascii="Arial" w:eastAsia="Calibri" w:hAnsi="Arial" w:cs="Arial"/>
          <w:kern w:val="2"/>
          <w:sz w:val="24"/>
          <w:szCs w:val="24"/>
          <w:lang w:eastAsia="en-GB"/>
          <w14:ligatures w14:val="standardContextual"/>
        </w:rPr>
        <w:tab/>
      </w:r>
      <w:r w:rsidR="008910C4" w:rsidRPr="006954A5">
        <w:rPr>
          <w:rFonts w:ascii="Arial" w:eastAsia="Calibri" w:hAnsi="Arial" w:cs="Arial"/>
          <w:kern w:val="2"/>
          <w:sz w:val="24"/>
          <w:szCs w:val="24"/>
          <w:lang w:eastAsia="en-GB"/>
          <w14:ligatures w14:val="standardContextual"/>
        </w:rPr>
        <w:t>The Council’s current investments are:</w:t>
      </w:r>
    </w:p>
    <w:p w14:paraId="08E5F3C9" w14:textId="77777777" w:rsidR="008910C4" w:rsidRPr="006954A5" w:rsidRDefault="008910C4" w:rsidP="005D0887">
      <w:pPr>
        <w:spacing w:after="0"/>
        <w:rPr>
          <w:rFonts w:ascii="Arial" w:eastAsia="Calibri" w:hAnsi="Arial" w:cs="Arial"/>
          <w:kern w:val="2"/>
          <w:sz w:val="24"/>
          <w:szCs w:val="24"/>
          <w:lang w:eastAsia="en-GB"/>
          <w14:ligatures w14:val="standardContextual"/>
        </w:rPr>
      </w:pPr>
    </w:p>
    <w:p w14:paraId="63836973" w14:textId="3DDAA58D" w:rsidR="00671C54" w:rsidRPr="006954A5" w:rsidRDefault="008E5EE3" w:rsidP="008E5EE3">
      <w:pPr>
        <w:pStyle w:val="ListParagraph"/>
        <w:numPr>
          <w:ilvl w:val="0"/>
          <w:numId w:val="23"/>
        </w:numPr>
        <w:rPr>
          <w:rFonts w:eastAsia="Calibri"/>
          <w:kern w:val="2"/>
          <w:lang w:eastAsia="en-GB"/>
          <w14:ligatures w14:val="standardContextual"/>
        </w:rPr>
      </w:pPr>
      <w:r w:rsidRPr="006954A5">
        <w:rPr>
          <w:rFonts w:eastAsia="Calibri"/>
          <w:kern w:val="2"/>
          <w:lang w:eastAsia="en-GB"/>
          <w14:ligatures w14:val="standardContextual"/>
        </w:rPr>
        <w:t>Handelsbanken</w:t>
      </w:r>
      <w:r w:rsidR="000D4302" w:rsidRPr="006954A5">
        <w:rPr>
          <w:rFonts w:eastAsia="Calibri"/>
          <w:kern w:val="2"/>
          <w:lang w:eastAsia="en-GB"/>
          <w14:ligatures w14:val="standardContextual"/>
        </w:rPr>
        <w:t xml:space="preserve"> Current </w:t>
      </w:r>
      <w:r w:rsidR="00035F5C">
        <w:rPr>
          <w:rFonts w:eastAsia="Calibri"/>
          <w:kern w:val="2"/>
          <w:lang w:eastAsia="en-GB"/>
          <w14:ligatures w14:val="standardContextual"/>
        </w:rPr>
        <w:t xml:space="preserve">Account </w:t>
      </w:r>
      <w:r w:rsidR="00021CF0" w:rsidRPr="006954A5">
        <w:rPr>
          <w:rFonts w:eastAsia="Calibri"/>
          <w:kern w:val="2"/>
          <w:lang w:eastAsia="en-GB"/>
          <w14:ligatures w14:val="standardContextual"/>
        </w:rPr>
        <w:t>–</w:t>
      </w:r>
      <w:r w:rsidR="008910C4" w:rsidRPr="006954A5">
        <w:rPr>
          <w:rFonts w:eastAsia="Calibri"/>
          <w:kern w:val="2"/>
          <w:lang w:eastAsia="en-GB"/>
          <w14:ligatures w14:val="standardContextual"/>
        </w:rPr>
        <w:t xml:space="preserve"> </w:t>
      </w:r>
      <w:r w:rsidR="00021CF0" w:rsidRPr="006954A5">
        <w:rPr>
          <w:rFonts w:eastAsia="Calibri"/>
          <w:kern w:val="2"/>
          <w:lang w:eastAsia="en-GB"/>
          <w14:ligatures w14:val="standardContextual"/>
        </w:rPr>
        <w:t>Day to day account.</w:t>
      </w:r>
    </w:p>
    <w:p w14:paraId="68BAEAAF" w14:textId="0E5B80E1" w:rsidR="000D4302" w:rsidRPr="006954A5" w:rsidRDefault="000D4302" w:rsidP="008E5EE3">
      <w:pPr>
        <w:pStyle w:val="ListParagraph"/>
        <w:numPr>
          <w:ilvl w:val="0"/>
          <w:numId w:val="23"/>
        </w:numPr>
        <w:rPr>
          <w:rFonts w:eastAsia="Calibri"/>
          <w:kern w:val="2"/>
          <w:lang w:eastAsia="en-GB"/>
          <w14:ligatures w14:val="standardContextual"/>
        </w:rPr>
      </w:pPr>
      <w:r w:rsidRPr="006954A5">
        <w:rPr>
          <w:rFonts w:eastAsia="Calibri"/>
          <w:kern w:val="2"/>
          <w:lang w:eastAsia="en-GB"/>
          <w14:ligatures w14:val="standardContextual"/>
        </w:rPr>
        <w:t xml:space="preserve">Handelsbanken Deposit </w:t>
      </w:r>
      <w:r w:rsidR="00035F5C">
        <w:rPr>
          <w:rFonts w:eastAsia="Calibri"/>
          <w:kern w:val="2"/>
          <w:lang w:eastAsia="en-GB"/>
          <w14:ligatures w14:val="standardContextual"/>
        </w:rPr>
        <w:t xml:space="preserve">Account </w:t>
      </w:r>
      <w:r w:rsidRPr="006954A5">
        <w:rPr>
          <w:rFonts w:eastAsia="Calibri"/>
          <w:kern w:val="2"/>
          <w:lang w:eastAsia="en-GB"/>
          <w14:ligatures w14:val="standardContextual"/>
        </w:rPr>
        <w:t>– Day to day account.</w:t>
      </w:r>
    </w:p>
    <w:p w14:paraId="42E9CB57" w14:textId="77777777" w:rsidR="008E5EE3" w:rsidRPr="006954A5" w:rsidRDefault="008E5EE3" w:rsidP="008E5EE3">
      <w:pPr>
        <w:pStyle w:val="ListParagraph"/>
        <w:ind w:left="1440"/>
        <w:rPr>
          <w:rFonts w:eastAsia="Calibri"/>
          <w:kern w:val="2"/>
          <w:lang w:eastAsia="en-GB"/>
          <w14:ligatures w14:val="standardContextual"/>
        </w:rPr>
      </w:pPr>
    </w:p>
    <w:p w14:paraId="46E17855" w14:textId="5D0E817E" w:rsidR="00017529" w:rsidRPr="006954A5" w:rsidRDefault="00017529" w:rsidP="00017529">
      <w:pPr>
        <w:spacing w:after="0"/>
        <w:rPr>
          <w:rFonts w:ascii="Arial" w:eastAsia="Calibri" w:hAnsi="Arial" w:cs="Arial"/>
          <w:kern w:val="2"/>
          <w:sz w:val="24"/>
          <w:szCs w:val="24"/>
          <w:lang w:eastAsia="en-GB"/>
          <w14:ligatures w14:val="standardContextual"/>
        </w:rPr>
      </w:pPr>
      <w:r w:rsidRPr="006954A5">
        <w:rPr>
          <w:rFonts w:ascii="Arial" w:eastAsia="Calibri" w:hAnsi="Arial" w:cs="Arial"/>
          <w:kern w:val="2"/>
          <w:sz w:val="24"/>
          <w:szCs w:val="24"/>
          <w:lang w:eastAsia="en-GB"/>
          <w14:ligatures w14:val="standardContextual"/>
        </w:rPr>
        <w:t>4.</w:t>
      </w:r>
      <w:r w:rsidRPr="006954A5">
        <w:rPr>
          <w:rFonts w:ascii="Arial" w:eastAsia="Calibri" w:hAnsi="Arial" w:cs="Arial"/>
          <w:kern w:val="2"/>
          <w:sz w:val="24"/>
          <w:szCs w:val="24"/>
          <w:lang w:eastAsia="en-GB"/>
          <w14:ligatures w14:val="standardContextual"/>
        </w:rPr>
        <w:tab/>
      </w:r>
      <w:r w:rsidR="006D28C6" w:rsidRPr="006954A5">
        <w:rPr>
          <w:rFonts w:ascii="Arial" w:eastAsia="Calibri" w:hAnsi="Arial" w:cs="Arial"/>
          <w:b/>
          <w:bCs/>
          <w:kern w:val="2"/>
          <w:sz w:val="24"/>
          <w:szCs w:val="24"/>
          <w:lang w:eastAsia="en-GB"/>
          <w14:ligatures w14:val="standardContextual"/>
        </w:rPr>
        <w:t>NON-SPECIFIED</w:t>
      </w:r>
      <w:r w:rsidRPr="006954A5">
        <w:rPr>
          <w:rFonts w:ascii="Arial" w:eastAsia="Calibri" w:hAnsi="Arial" w:cs="Arial"/>
          <w:b/>
          <w:bCs/>
          <w:kern w:val="2"/>
          <w:sz w:val="24"/>
          <w:szCs w:val="24"/>
          <w:lang w:eastAsia="en-GB"/>
          <w14:ligatures w14:val="standardContextual"/>
        </w:rPr>
        <w:t xml:space="preserve"> INVESTMENTS</w:t>
      </w:r>
    </w:p>
    <w:p w14:paraId="52D228DF" w14:textId="77777777" w:rsidR="00017529" w:rsidRPr="006954A5" w:rsidRDefault="00017529" w:rsidP="00017529">
      <w:pPr>
        <w:spacing w:after="0"/>
        <w:rPr>
          <w:rFonts w:ascii="Arial" w:eastAsia="Calibri" w:hAnsi="Arial" w:cs="Arial"/>
          <w:kern w:val="2"/>
          <w:sz w:val="24"/>
          <w:szCs w:val="24"/>
          <w:lang w:eastAsia="en-GB"/>
          <w14:ligatures w14:val="standardContextual"/>
        </w:rPr>
      </w:pPr>
    </w:p>
    <w:p w14:paraId="2EC9AD84" w14:textId="2984A2C0" w:rsidR="00524F09" w:rsidRPr="006954A5" w:rsidRDefault="00017529" w:rsidP="00774BE0">
      <w:pPr>
        <w:spacing w:after="0"/>
        <w:ind w:left="720" w:hanging="720"/>
        <w:rPr>
          <w:rFonts w:ascii="Arial" w:eastAsia="Calibri" w:hAnsi="Arial" w:cs="Arial"/>
          <w:kern w:val="2"/>
          <w:sz w:val="24"/>
          <w:szCs w:val="24"/>
          <w:lang w:eastAsia="en-GB"/>
          <w14:ligatures w14:val="standardContextual"/>
        </w:rPr>
      </w:pPr>
      <w:r w:rsidRPr="006954A5">
        <w:rPr>
          <w:rFonts w:ascii="Arial" w:eastAsia="Calibri" w:hAnsi="Arial" w:cs="Arial"/>
          <w:kern w:val="2"/>
          <w:sz w:val="24"/>
          <w:szCs w:val="24"/>
          <w:lang w:eastAsia="en-GB"/>
          <w14:ligatures w14:val="standardContextual"/>
        </w:rPr>
        <w:t>4.1</w:t>
      </w:r>
      <w:r w:rsidRPr="006954A5">
        <w:rPr>
          <w:rFonts w:ascii="Arial" w:eastAsia="Calibri" w:hAnsi="Arial" w:cs="Arial"/>
          <w:kern w:val="2"/>
          <w:sz w:val="24"/>
          <w:szCs w:val="24"/>
          <w:lang w:eastAsia="en-GB"/>
          <w14:ligatures w14:val="standardContextual"/>
        </w:rPr>
        <w:tab/>
      </w:r>
      <w:r w:rsidR="00524F09" w:rsidRPr="006954A5">
        <w:rPr>
          <w:rFonts w:ascii="Arial" w:eastAsia="Calibri" w:hAnsi="Arial" w:cs="Arial"/>
          <w:kern w:val="2"/>
          <w:sz w:val="24"/>
          <w:szCs w:val="24"/>
          <w:lang w:eastAsia="en-GB"/>
          <w14:ligatures w14:val="standardContextual"/>
        </w:rPr>
        <w:t xml:space="preserve">Any investment not meeting the definition of a specified investment is classed as non-specified. </w:t>
      </w:r>
    </w:p>
    <w:p w14:paraId="3B392B01" w14:textId="77777777" w:rsidR="00524F09" w:rsidRPr="006954A5" w:rsidRDefault="00524F09" w:rsidP="00774BE0">
      <w:pPr>
        <w:spacing w:after="0"/>
        <w:ind w:left="720" w:hanging="720"/>
        <w:rPr>
          <w:rFonts w:ascii="Arial" w:eastAsia="Calibri" w:hAnsi="Arial" w:cs="Arial"/>
          <w:kern w:val="2"/>
          <w:sz w:val="24"/>
          <w:szCs w:val="24"/>
          <w:lang w:eastAsia="en-GB"/>
          <w14:ligatures w14:val="standardContextual"/>
        </w:rPr>
      </w:pPr>
    </w:p>
    <w:p w14:paraId="26050459" w14:textId="0C683A2A" w:rsidR="00524F09" w:rsidRPr="006954A5" w:rsidRDefault="00524F09" w:rsidP="00774BE0">
      <w:pPr>
        <w:spacing w:after="0"/>
        <w:ind w:left="720" w:hanging="720"/>
        <w:rPr>
          <w:rFonts w:ascii="Arial" w:eastAsia="Calibri" w:hAnsi="Arial" w:cs="Arial"/>
          <w:kern w:val="2"/>
          <w:sz w:val="24"/>
          <w:szCs w:val="24"/>
          <w:lang w:eastAsia="en-GB"/>
          <w14:ligatures w14:val="standardContextual"/>
        </w:rPr>
      </w:pPr>
      <w:r w:rsidRPr="006954A5">
        <w:rPr>
          <w:rFonts w:ascii="Arial" w:eastAsia="Calibri" w:hAnsi="Arial" w:cs="Arial"/>
          <w:kern w:val="2"/>
          <w:sz w:val="24"/>
          <w:szCs w:val="24"/>
          <w:lang w:eastAsia="en-GB"/>
          <w14:ligatures w14:val="standardContextual"/>
        </w:rPr>
        <w:t xml:space="preserve">4.2 </w:t>
      </w:r>
      <w:r w:rsidRPr="006954A5">
        <w:rPr>
          <w:rFonts w:ascii="Arial" w:eastAsia="Calibri" w:hAnsi="Arial" w:cs="Arial"/>
          <w:kern w:val="2"/>
          <w:sz w:val="24"/>
          <w:szCs w:val="24"/>
          <w:lang w:eastAsia="en-GB"/>
          <w14:ligatures w14:val="standardContextual"/>
        </w:rPr>
        <w:tab/>
        <w:t xml:space="preserve">Non-specified investments will therefore be limited to long-term investments </w:t>
      </w:r>
      <w:r w:rsidR="00C56019" w:rsidRPr="006954A5">
        <w:rPr>
          <w:rFonts w:ascii="Arial" w:eastAsia="Calibri" w:hAnsi="Arial" w:cs="Arial"/>
          <w:kern w:val="2"/>
          <w:sz w:val="24"/>
          <w:szCs w:val="24"/>
          <w:lang w:eastAsia="en-GB"/>
          <w14:ligatures w14:val="standardContextual"/>
        </w:rPr>
        <w:t>i.e.</w:t>
      </w:r>
      <w:r w:rsidRPr="006954A5">
        <w:rPr>
          <w:rFonts w:ascii="Arial" w:eastAsia="Calibri" w:hAnsi="Arial" w:cs="Arial"/>
          <w:kern w:val="2"/>
          <w:sz w:val="24"/>
          <w:szCs w:val="24"/>
          <w:lang w:eastAsia="en-GB"/>
          <w14:ligatures w14:val="standardContextual"/>
        </w:rPr>
        <w:t xml:space="preserve"> those that are due to mature 12 months or longer from the date of arrangement, and investments with bodies or schemes not meeting the definition on high credit quality. These investments have greater potential risk – examples include investment in the money market, stock and shares.</w:t>
      </w:r>
    </w:p>
    <w:p w14:paraId="213C0E9C" w14:textId="77777777" w:rsidR="00524F09" w:rsidRPr="006954A5" w:rsidRDefault="00524F09" w:rsidP="00774BE0">
      <w:pPr>
        <w:spacing w:after="0"/>
        <w:ind w:left="720" w:hanging="720"/>
        <w:rPr>
          <w:rFonts w:ascii="Arial" w:eastAsia="Calibri" w:hAnsi="Arial" w:cs="Arial"/>
          <w:kern w:val="2"/>
          <w:sz w:val="24"/>
          <w:szCs w:val="24"/>
          <w:lang w:eastAsia="en-GB"/>
          <w14:ligatures w14:val="standardContextual"/>
        </w:rPr>
      </w:pPr>
    </w:p>
    <w:p w14:paraId="50FE0EEC" w14:textId="77777777" w:rsidR="00C56019" w:rsidRPr="006954A5" w:rsidRDefault="00524F09" w:rsidP="00774BE0">
      <w:pPr>
        <w:spacing w:after="0"/>
        <w:ind w:left="720" w:hanging="720"/>
        <w:rPr>
          <w:rFonts w:ascii="Arial" w:eastAsia="Calibri" w:hAnsi="Arial" w:cs="Arial"/>
          <w:kern w:val="2"/>
          <w:sz w:val="24"/>
          <w:szCs w:val="24"/>
          <w:lang w:eastAsia="en-GB"/>
          <w14:ligatures w14:val="standardContextual"/>
        </w:rPr>
      </w:pPr>
      <w:r w:rsidRPr="006954A5">
        <w:rPr>
          <w:rFonts w:ascii="Arial" w:eastAsia="Calibri" w:hAnsi="Arial" w:cs="Arial"/>
          <w:kern w:val="2"/>
          <w:sz w:val="24"/>
          <w:szCs w:val="24"/>
          <w:lang w:eastAsia="en-GB"/>
          <w14:ligatures w14:val="standardContextual"/>
        </w:rPr>
        <w:t xml:space="preserve"> 4.3</w:t>
      </w:r>
      <w:r w:rsidRPr="006954A5">
        <w:rPr>
          <w:rFonts w:ascii="Arial" w:eastAsia="Calibri" w:hAnsi="Arial" w:cs="Arial"/>
          <w:kern w:val="2"/>
          <w:sz w:val="24"/>
          <w:szCs w:val="24"/>
          <w:lang w:eastAsia="en-GB"/>
          <w14:ligatures w14:val="standardContextual"/>
        </w:rPr>
        <w:tab/>
        <w:t>Capital growth of the fund should be considered and equal to RPI whilst being consistent with other priorities</w:t>
      </w:r>
      <w:r w:rsidR="00C56019" w:rsidRPr="006954A5">
        <w:rPr>
          <w:rFonts w:ascii="Arial" w:eastAsia="Calibri" w:hAnsi="Arial" w:cs="Arial"/>
          <w:kern w:val="2"/>
          <w:sz w:val="24"/>
          <w:szCs w:val="24"/>
          <w:lang w:eastAsia="en-GB"/>
          <w14:ligatures w14:val="standardContextual"/>
        </w:rPr>
        <w:t>.</w:t>
      </w:r>
    </w:p>
    <w:p w14:paraId="634DD09A" w14:textId="77777777" w:rsidR="008E5EE3" w:rsidRPr="006954A5" w:rsidRDefault="008E5EE3" w:rsidP="00774BE0">
      <w:pPr>
        <w:spacing w:after="0"/>
        <w:ind w:left="720" w:hanging="720"/>
        <w:rPr>
          <w:rFonts w:ascii="Arial" w:eastAsia="Calibri" w:hAnsi="Arial" w:cs="Arial"/>
          <w:kern w:val="2"/>
          <w:sz w:val="24"/>
          <w:szCs w:val="24"/>
          <w:lang w:eastAsia="en-GB"/>
          <w14:ligatures w14:val="standardContextual"/>
        </w:rPr>
      </w:pPr>
    </w:p>
    <w:p w14:paraId="39F5D128" w14:textId="0E599BF6" w:rsidR="00AC4059" w:rsidRPr="006954A5" w:rsidRDefault="00524F09" w:rsidP="000D4302">
      <w:pPr>
        <w:spacing w:after="0"/>
        <w:ind w:left="720" w:hanging="720"/>
        <w:rPr>
          <w:rFonts w:ascii="Arial" w:eastAsia="Calibri" w:hAnsi="Arial" w:cs="Arial"/>
          <w:kern w:val="2"/>
          <w:sz w:val="24"/>
          <w:szCs w:val="24"/>
          <w:lang w:eastAsia="en-GB"/>
          <w14:ligatures w14:val="standardContextual"/>
        </w:rPr>
      </w:pPr>
      <w:r w:rsidRPr="006954A5">
        <w:rPr>
          <w:rFonts w:ascii="Arial" w:eastAsia="Calibri" w:hAnsi="Arial" w:cs="Arial"/>
          <w:kern w:val="2"/>
          <w:sz w:val="24"/>
          <w:szCs w:val="24"/>
          <w:lang w:eastAsia="en-GB"/>
          <w14:ligatures w14:val="standardContextual"/>
        </w:rPr>
        <w:t xml:space="preserve"> 4.4 </w:t>
      </w:r>
      <w:r w:rsidR="00C56019" w:rsidRPr="006954A5">
        <w:rPr>
          <w:rFonts w:ascii="Arial" w:eastAsia="Calibri" w:hAnsi="Arial" w:cs="Arial"/>
          <w:kern w:val="2"/>
          <w:sz w:val="24"/>
          <w:szCs w:val="24"/>
          <w:lang w:eastAsia="en-GB"/>
          <w14:ligatures w14:val="standardContextual"/>
        </w:rPr>
        <w:tab/>
      </w:r>
      <w:r w:rsidRPr="006954A5">
        <w:rPr>
          <w:rFonts w:ascii="Arial" w:eastAsia="Calibri" w:hAnsi="Arial" w:cs="Arial"/>
          <w:kern w:val="2"/>
          <w:sz w:val="24"/>
          <w:szCs w:val="24"/>
          <w:lang w:eastAsia="en-GB"/>
          <w14:ligatures w14:val="standardContextual"/>
        </w:rPr>
        <w:t>The Council’s exposure to this type of investment is</w:t>
      </w:r>
      <w:r w:rsidR="000D4302" w:rsidRPr="006954A5">
        <w:rPr>
          <w:rFonts w:ascii="Arial" w:eastAsia="Calibri" w:hAnsi="Arial" w:cs="Arial"/>
          <w:kern w:val="2"/>
          <w:sz w:val="24"/>
          <w:szCs w:val="24"/>
          <w:lang w:eastAsia="en-GB"/>
          <w14:ligatures w14:val="standardContextual"/>
        </w:rPr>
        <w:t xml:space="preserve"> none.</w:t>
      </w:r>
      <w:r w:rsidR="00C56019" w:rsidRPr="006954A5">
        <w:rPr>
          <w:rFonts w:ascii="Arial" w:eastAsia="Calibri" w:hAnsi="Arial" w:cs="Arial"/>
          <w:kern w:val="2"/>
          <w:sz w:val="24"/>
          <w:szCs w:val="24"/>
          <w:lang w:eastAsia="en-GB"/>
          <w14:ligatures w14:val="standardContextual"/>
        </w:rPr>
        <w:br/>
      </w:r>
    </w:p>
    <w:p w14:paraId="76D21A7F" w14:textId="77777777" w:rsidR="00017529" w:rsidRPr="006954A5" w:rsidRDefault="00017529" w:rsidP="00017529">
      <w:pPr>
        <w:spacing w:after="0"/>
        <w:rPr>
          <w:rFonts w:ascii="Arial" w:eastAsia="Calibri" w:hAnsi="Arial" w:cs="Arial"/>
          <w:kern w:val="2"/>
          <w:sz w:val="24"/>
          <w:szCs w:val="24"/>
          <w:lang w:eastAsia="en-GB"/>
          <w14:ligatures w14:val="standardContextual"/>
        </w:rPr>
      </w:pPr>
      <w:r w:rsidRPr="006954A5">
        <w:rPr>
          <w:rFonts w:ascii="Arial" w:eastAsia="Calibri" w:hAnsi="Arial" w:cs="Arial"/>
          <w:kern w:val="2"/>
          <w:sz w:val="24"/>
          <w:szCs w:val="24"/>
          <w:lang w:eastAsia="en-GB"/>
          <w14:ligatures w14:val="standardContextual"/>
        </w:rPr>
        <w:t>5.</w:t>
      </w:r>
      <w:r w:rsidRPr="006954A5">
        <w:rPr>
          <w:rFonts w:ascii="Arial" w:eastAsia="Calibri" w:hAnsi="Arial" w:cs="Arial"/>
          <w:kern w:val="2"/>
          <w:sz w:val="24"/>
          <w:szCs w:val="24"/>
          <w:lang w:eastAsia="en-GB"/>
          <w14:ligatures w14:val="standardContextual"/>
        </w:rPr>
        <w:tab/>
      </w:r>
      <w:r w:rsidRPr="006954A5">
        <w:rPr>
          <w:rFonts w:ascii="Arial" w:eastAsia="Calibri" w:hAnsi="Arial" w:cs="Arial"/>
          <w:b/>
          <w:bCs/>
          <w:kern w:val="2"/>
          <w:sz w:val="24"/>
          <w:szCs w:val="24"/>
          <w:lang w:eastAsia="en-GB"/>
          <w14:ligatures w14:val="standardContextual"/>
        </w:rPr>
        <w:t>LIQUIDITY OF INVESTMENTS</w:t>
      </w:r>
    </w:p>
    <w:p w14:paraId="754F620F" w14:textId="77777777" w:rsidR="00017529" w:rsidRPr="006954A5" w:rsidRDefault="00017529" w:rsidP="00017529">
      <w:pPr>
        <w:spacing w:after="0"/>
        <w:rPr>
          <w:rFonts w:ascii="Arial" w:eastAsia="Calibri" w:hAnsi="Arial" w:cs="Arial"/>
          <w:kern w:val="2"/>
          <w:sz w:val="24"/>
          <w:szCs w:val="24"/>
          <w:lang w:eastAsia="en-GB"/>
          <w14:ligatures w14:val="standardContextual"/>
        </w:rPr>
      </w:pPr>
    </w:p>
    <w:p w14:paraId="0171D742" w14:textId="548138DE" w:rsidR="00017529" w:rsidRPr="006954A5" w:rsidRDefault="00017529" w:rsidP="00B43B98">
      <w:pPr>
        <w:spacing w:after="0"/>
        <w:ind w:left="720" w:hanging="720"/>
        <w:rPr>
          <w:rFonts w:ascii="Arial" w:eastAsia="Calibri" w:hAnsi="Arial" w:cs="Arial"/>
          <w:kern w:val="2"/>
          <w:sz w:val="24"/>
          <w:szCs w:val="24"/>
          <w:lang w:eastAsia="en-GB"/>
          <w14:ligatures w14:val="standardContextual"/>
        </w:rPr>
      </w:pPr>
      <w:r w:rsidRPr="006954A5">
        <w:rPr>
          <w:rFonts w:ascii="Arial" w:eastAsia="Calibri" w:hAnsi="Arial" w:cs="Arial"/>
          <w:kern w:val="2"/>
          <w:sz w:val="24"/>
          <w:szCs w:val="24"/>
          <w:lang w:eastAsia="en-GB"/>
          <w14:ligatures w14:val="standardContextual"/>
        </w:rPr>
        <w:t>5.1</w:t>
      </w:r>
      <w:r w:rsidRPr="006954A5">
        <w:rPr>
          <w:rFonts w:ascii="Arial" w:eastAsia="Calibri" w:hAnsi="Arial" w:cs="Arial"/>
          <w:kern w:val="2"/>
          <w:sz w:val="24"/>
          <w:szCs w:val="24"/>
          <w:lang w:eastAsia="en-GB"/>
          <w14:ligatures w14:val="standardContextual"/>
        </w:rPr>
        <w:tab/>
        <w:t>The Finance</w:t>
      </w:r>
      <w:r w:rsidR="000D4302" w:rsidRPr="006954A5">
        <w:rPr>
          <w:rFonts w:ascii="Arial" w:eastAsia="Calibri" w:hAnsi="Arial" w:cs="Arial"/>
          <w:kern w:val="2"/>
          <w:sz w:val="24"/>
          <w:szCs w:val="24"/>
          <w:lang w:eastAsia="en-GB"/>
          <w14:ligatures w14:val="standardContextual"/>
        </w:rPr>
        <w:t xml:space="preserve"> and General Purposes</w:t>
      </w:r>
      <w:r w:rsidRPr="006954A5">
        <w:rPr>
          <w:rFonts w:ascii="Arial" w:eastAsia="Calibri" w:hAnsi="Arial" w:cs="Arial"/>
          <w:kern w:val="2"/>
          <w:sz w:val="24"/>
          <w:szCs w:val="24"/>
          <w:lang w:eastAsia="en-GB"/>
          <w14:ligatures w14:val="standardContextual"/>
        </w:rPr>
        <w:t xml:space="preserve"> Committee will determine the maximum periods for which funds may prudently be committed so as not to compromise liquidity.</w:t>
      </w:r>
    </w:p>
    <w:p w14:paraId="075BB18F" w14:textId="77777777" w:rsidR="00017529" w:rsidRPr="006954A5" w:rsidRDefault="00017529" w:rsidP="00017529">
      <w:pPr>
        <w:spacing w:after="0"/>
        <w:rPr>
          <w:rFonts w:ascii="Arial" w:eastAsia="Calibri" w:hAnsi="Arial" w:cs="Arial"/>
          <w:kern w:val="2"/>
          <w:sz w:val="24"/>
          <w:szCs w:val="24"/>
          <w:lang w:eastAsia="en-GB"/>
          <w14:ligatures w14:val="standardContextual"/>
        </w:rPr>
      </w:pPr>
    </w:p>
    <w:p w14:paraId="63B75F5D" w14:textId="77777777" w:rsidR="00017529" w:rsidRPr="006954A5" w:rsidRDefault="00017529" w:rsidP="006D5503">
      <w:pPr>
        <w:spacing w:after="0"/>
        <w:ind w:left="720" w:hanging="720"/>
        <w:rPr>
          <w:rFonts w:ascii="Arial" w:eastAsia="Calibri" w:hAnsi="Arial" w:cs="Arial"/>
          <w:kern w:val="2"/>
          <w:sz w:val="24"/>
          <w:szCs w:val="24"/>
          <w:lang w:eastAsia="en-GB"/>
          <w14:ligatures w14:val="standardContextual"/>
        </w:rPr>
      </w:pPr>
      <w:r w:rsidRPr="006954A5">
        <w:rPr>
          <w:rFonts w:ascii="Arial" w:eastAsia="Calibri" w:hAnsi="Arial" w:cs="Arial"/>
          <w:kern w:val="2"/>
          <w:sz w:val="24"/>
          <w:szCs w:val="24"/>
          <w:lang w:eastAsia="en-GB"/>
          <w14:ligatures w14:val="standardContextual"/>
        </w:rPr>
        <w:t>5.2</w:t>
      </w:r>
      <w:r w:rsidRPr="006954A5">
        <w:rPr>
          <w:rFonts w:ascii="Arial" w:eastAsia="Calibri" w:hAnsi="Arial" w:cs="Arial"/>
          <w:kern w:val="2"/>
          <w:sz w:val="24"/>
          <w:szCs w:val="24"/>
          <w:lang w:eastAsia="en-GB"/>
          <w14:ligatures w14:val="standardContextual"/>
        </w:rPr>
        <w:tab/>
        <w:t>Investments will be regarded as commencing on the date the commitment to invest is entered into rather than the date on which the funds are paid over to the counterparty.</w:t>
      </w:r>
    </w:p>
    <w:p w14:paraId="74EBF432" w14:textId="77777777" w:rsidR="00923D76" w:rsidRPr="006954A5" w:rsidRDefault="00923D76" w:rsidP="00017529">
      <w:pPr>
        <w:spacing w:after="0"/>
        <w:rPr>
          <w:rFonts w:ascii="Arial" w:eastAsia="Calibri" w:hAnsi="Arial" w:cs="Arial"/>
          <w:kern w:val="2"/>
          <w:sz w:val="24"/>
          <w:szCs w:val="24"/>
          <w:lang w:eastAsia="en-GB"/>
          <w14:ligatures w14:val="standardContextual"/>
        </w:rPr>
      </w:pPr>
    </w:p>
    <w:p w14:paraId="7E23D19D" w14:textId="77777777" w:rsidR="00017529" w:rsidRPr="006954A5" w:rsidRDefault="00017529" w:rsidP="00017529">
      <w:pPr>
        <w:spacing w:after="0"/>
        <w:rPr>
          <w:rFonts w:ascii="Arial" w:eastAsia="Calibri" w:hAnsi="Arial" w:cs="Arial"/>
          <w:b/>
          <w:bCs/>
          <w:kern w:val="2"/>
          <w:sz w:val="24"/>
          <w:szCs w:val="24"/>
          <w:lang w:eastAsia="en-GB"/>
          <w14:ligatures w14:val="standardContextual"/>
        </w:rPr>
      </w:pPr>
      <w:r w:rsidRPr="006954A5">
        <w:rPr>
          <w:rFonts w:ascii="Arial" w:eastAsia="Calibri" w:hAnsi="Arial" w:cs="Arial"/>
          <w:kern w:val="2"/>
          <w:sz w:val="24"/>
          <w:szCs w:val="24"/>
          <w:lang w:eastAsia="en-GB"/>
          <w14:ligatures w14:val="standardContextual"/>
        </w:rPr>
        <w:t>6.</w:t>
      </w:r>
      <w:r w:rsidRPr="006954A5">
        <w:rPr>
          <w:rFonts w:ascii="Arial" w:eastAsia="Calibri" w:hAnsi="Arial" w:cs="Arial"/>
          <w:kern w:val="2"/>
          <w:sz w:val="24"/>
          <w:szCs w:val="24"/>
          <w:lang w:eastAsia="en-GB"/>
          <w14:ligatures w14:val="standardContextual"/>
        </w:rPr>
        <w:tab/>
      </w:r>
      <w:r w:rsidRPr="006954A5">
        <w:rPr>
          <w:rFonts w:ascii="Arial" w:eastAsia="Calibri" w:hAnsi="Arial" w:cs="Arial"/>
          <w:b/>
          <w:bCs/>
          <w:kern w:val="2"/>
          <w:sz w:val="24"/>
          <w:szCs w:val="24"/>
          <w:lang w:eastAsia="en-GB"/>
          <w14:ligatures w14:val="standardContextual"/>
        </w:rPr>
        <w:t>LONG TERM INVESTMENTS</w:t>
      </w:r>
    </w:p>
    <w:p w14:paraId="3F2D8120" w14:textId="77777777" w:rsidR="00017529" w:rsidRPr="006954A5" w:rsidRDefault="00017529" w:rsidP="00017529">
      <w:pPr>
        <w:spacing w:after="0"/>
        <w:rPr>
          <w:rFonts w:ascii="Calibri" w:eastAsia="Calibri" w:hAnsi="Calibri" w:cs="Calibri"/>
          <w:kern w:val="2"/>
          <w:sz w:val="24"/>
          <w:szCs w:val="24"/>
          <w:lang w:eastAsia="en-GB"/>
          <w14:ligatures w14:val="standardContextual"/>
        </w:rPr>
      </w:pPr>
    </w:p>
    <w:p w14:paraId="4FBF83AA" w14:textId="77777777" w:rsidR="00017529" w:rsidRPr="006954A5" w:rsidRDefault="00017529" w:rsidP="006954A5">
      <w:pPr>
        <w:spacing w:after="0"/>
        <w:ind w:left="720" w:hanging="720"/>
        <w:rPr>
          <w:rFonts w:ascii="Arial" w:eastAsia="Calibri" w:hAnsi="Arial" w:cs="Arial"/>
          <w:kern w:val="2"/>
          <w:sz w:val="24"/>
          <w:szCs w:val="24"/>
          <w:lang w:eastAsia="en-GB"/>
          <w14:ligatures w14:val="standardContextual"/>
        </w:rPr>
      </w:pPr>
      <w:r w:rsidRPr="006954A5">
        <w:rPr>
          <w:rFonts w:ascii="Arial" w:eastAsia="Calibri" w:hAnsi="Arial" w:cs="Arial"/>
          <w:kern w:val="2"/>
          <w:sz w:val="24"/>
          <w:szCs w:val="24"/>
          <w:lang w:eastAsia="en-GB"/>
          <w14:ligatures w14:val="standardContextual"/>
        </w:rPr>
        <w:t>6.1</w:t>
      </w:r>
      <w:r w:rsidRPr="006954A5">
        <w:rPr>
          <w:rFonts w:ascii="Arial" w:eastAsia="Calibri" w:hAnsi="Arial" w:cs="Arial"/>
          <w:kern w:val="2"/>
          <w:sz w:val="24"/>
          <w:szCs w:val="24"/>
          <w:lang w:eastAsia="en-GB"/>
          <w14:ligatures w14:val="standardContextual"/>
        </w:rPr>
        <w:tab/>
        <w:t>Long term investments are defined in the Guidance as greater than 36 months.</w:t>
      </w:r>
    </w:p>
    <w:p w14:paraId="012ADED6" w14:textId="77777777" w:rsidR="00017529" w:rsidRPr="006954A5" w:rsidRDefault="00017529" w:rsidP="00017529">
      <w:pPr>
        <w:spacing w:after="0"/>
        <w:rPr>
          <w:rFonts w:ascii="Arial" w:eastAsia="Calibri" w:hAnsi="Arial" w:cs="Arial"/>
          <w:kern w:val="2"/>
          <w:sz w:val="24"/>
          <w:szCs w:val="24"/>
          <w:lang w:eastAsia="en-GB"/>
          <w14:ligatures w14:val="standardContextual"/>
        </w:rPr>
      </w:pPr>
    </w:p>
    <w:p w14:paraId="64B3758E" w14:textId="77777777" w:rsidR="00017529" w:rsidRPr="006954A5" w:rsidRDefault="00017529" w:rsidP="00D50A9B">
      <w:pPr>
        <w:spacing w:after="0"/>
        <w:ind w:left="720" w:hanging="720"/>
        <w:rPr>
          <w:rFonts w:ascii="Arial" w:eastAsia="Calibri" w:hAnsi="Arial" w:cs="Arial"/>
          <w:kern w:val="2"/>
          <w:sz w:val="24"/>
          <w:szCs w:val="24"/>
          <w:lang w:eastAsia="en-GB"/>
          <w14:ligatures w14:val="standardContextual"/>
        </w:rPr>
      </w:pPr>
      <w:r w:rsidRPr="006954A5">
        <w:rPr>
          <w:rFonts w:ascii="Arial" w:eastAsia="Calibri" w:hAnsi="Arial" w:cs="Arial"/>
          <w:kern w:val="2"/>
          <w:sz w:val="24"/>
          <w:szCs w:val="24"/>
          <w:lang w:eastAsia="en-GB"/>
          <w14:ligatures w14:val="standardContextual"/>
        </w:rPr>
        <w:t>6.2</w:t>
      </w:r>
      <w:r w:rsidRPr="006954A5">
        <w:rPr>
          <w:rFonts w:ascii="Arial" w:eastAsia="Calibri" w:hAnsi="Arial" w:cs="Arial"/>
          <w:kern w:val="2"/>
          <w:sz w:val="24"/>
          <w:szCs w:val="24"/>
          <w:lang w:eastAsia="en-GB"/>
          <w14:ligatures w14:val="standardContextual"/>
        </w:rPr>
        <w:tab/>
        <w:t>When investing in corporate bonds and/or government bonds the credit rating alone is not sufficient to make an investment it needs to be reviewed within the context of the wider financial economic information available and advice.</w:t>
      </w:r>
    </w:p>
    <w:p w14:paraId="53B1C32B" w14:textId="77777777" w:rsidR="00017529" w:rsidRPr="006954A5" w:rsidRDefault="00017529" w:rsidP="00017529">
      <w:pPr>
        <w:spacing w:after="0"/>
        <w:rPr>
          <w:rFonts w:ascii="Arial" w:eastAsia="Calibri" w:hAnsi="Arial" w:cs="Arial"/>
          <w:kern w:val="2"/>
          <w:sz w:val="24"/>
          <w:szCs w:val="24"/>
          <w:lang w:eastAsia="en-GB"/>
          <w14:ligatures w14:val="standardContextual"/>
        </w:rPr>
      </w:pPr>
    </w:p>
    <w:p w14:paraId="65993437" w14:textId="77777777" w:rsidR="00017529" w:rsidRPr="006954A5" w:rsidRDefault="00017529" w:rsidP="008C1969">
      <w:pPr>
        <w:spacing w:after="0"/>
        <w:ind w:left="720" w:hanging="720"/>
        <w:rPr>
          <w:rFonts w:ascii="Arial" w:eastAsia="Calibri" w:hAnsi="Arial" w:cs="Arial"/>
          <w:kern w:val="2"/>
          <w:sz w:val="24"/>
          <w:szCs w:val="24"/>
          <w:lang w:eastAsia="en-GB"/>
          <w14:ligatures w14:val="standardContextual"/>
        </w:rPr>
      </w:pPr>
      <w:r w:rsidRPr="006954A5">
        <w:rPr>
          <w:rFonts w:ascii="Arial" w:eastAsia="Calibri" w:hAnsi="Arial" w:cs="Arial"/>
          <w:kern w:val="2"/>
          <w:sz w:val="24"/>
          <w:szCs w:val="24"/>
          <w:lang w:eastAsia="en-GB"/>
          <w14:ligatures w14:val="standardContextual"/>
        </w:rPr>
        <w:t>6.3</w:t>
      </w:r>
      <w:r w:rsidRPr="006954A5">
        <w:rPr>
          <w:rFonts w:ascii="Arial" w:eastAsia="Calibri" w:hAnsi="Arial" w:cs="Arial"/>
          <w:kern w:val="2"/>
          <w:sz w:val="24"/>
          <w:szCs w:val="24"/>
          <w:lang w:eastAsia="en-GB"/>
          <w14:ligatures w14:val="standardContextual"/>
        </w:rPr>
        <w:tab/>
        <w:t xml:space="preserve">The Council </w:t>
      </w:r>
      <w:r w:rsidRPr="006954A5">
        <w:rPr>
          <w:rFonts w:ascii="Arial" w:eastAsia="Calibri" w:hAnsi="Arial" w:cs="Arial"/>
          <w:b/>
          <w:kern w:val="2"/>
          <w:sz w:val="24"/>
          <w:szCs w:val="24"/>
          <w:lang w:eastAsia="en-GB"/>
          <w14:ligatures w14:val="standardContextual"/>
        </w:rPr>
        <w:t>does not currently</w:t>
      </w:r>
      <w:r w:rsidRPr="006954A5">
        <w:rPr>
          <w:rFonts w:ascii="Arial" w:eastAsia="Calibri" w:hAnsi="Arial" w:cs="Arial"/>
          <w:kern w:val="2"/>
          <w:sz w:val="24"/>
          <w:szCs w:val="24"/>
          <w:lang w:eastAsia="en-GB"/>
          <w14:ligatures w14:val="standardContextual"/>
        </w:rPr>
        <w:t xml:space="preserve"> hold any funds in long term investments. Such investments will only be made having sought advice where appropriate from Independent Financial Advisors or the Treasury Management Team at Shropshire Council.</w:t>
      </w:r>
    </w:p>
    <w:p w14:paraId="41751BE4" w14:textId="77777777" w:rsidR="00017529" w:rsidRPr="006954A5" w:rsidRDefault="00017529" w:rsidP="00017529">
      <w:pPr>
        <w:spacing w:after="0"/>
        <w:rPr>
          <w:rFonts w:ascii="Calibri" w:eastAsia="Calibri" w:hAnsi="Calibri" w:cs="Calibri"/>
          <w:kern w:val="2"/>
          <w:sz w:val="24"/>
          <w:szCs w:val="24"/>
          <w:lang w:eastAsia="en-GB"/>
          <w14:ligatures w14:val="standardContextual"/>
        </w:rPr>
      </w:pPr>
    </w:p>
    <w:p w14:paraId="0106881E" w14:textId="77777777" w:rsidR="00017529" w:rsidRPr="006954A5" w:rsidRDefault="00017529" w:rsidP="00017529">
      <w:pPr>
        <w:spacing w:after="0"/>
        <w:rPr>
          <w:rFonts w:ascii="Arial" w:eastAsia="Calibri" w:hAnsi="Arial" w:cs="Arial"/>
          <w:b/>
          <w:bCs/>
          <w:kern w:val="2"/>
          <w:sz w:val="24"/>
          <w:szCs w:val="24"/>
          <w:lang w:eastAsia="en-GB"/>
          <w14:ligatures w14:val="standardContextual"/>
        </w:rPr>
      </w:pPr>
      <w:r w:rsidRPr="006954A5">
        <w:rPr>
          <w:rFonts w:ascii="Arial" w:eastAsia="Calibri" w:hAnsi="Arial" w:cs="Arial"/>
          <w:kern w:val="2"/>
          <w:sz w:val="24"/>
          <w:szCs w:val="24"/>
          <w:lang w:eastAsia="en-GB"/>
          <w14:ligatures w14:val="standardContextual"/>
        </w:rPr>
        <w:t>7.</w:t>
      </w:r>
      <w:r w:rsidRPr="006954A5">
        <w:rPr>
          <w:rFonts w:ascii="Arial" w:eastAsia="Calibri" w:hAnsi="Arial" w:cs="Arial"/>
          <w:kern w:val="2"/>
          <w:sz w:val="24"/>
          <w:szCs w:val="24"/>
          <w:lang w:eastAsia="en-GB"/>
          <w14:ligatures w14:val="standardContextual"/>
        </w:rPr>
        <w:tab/>
      </w:r>
      <w:r w:rsidRPr="006954A5">
        <w:rPr>
          <w:rFonts w:ascii="Arial" w:eastAsia="Calibri" w:hAnsi="Arial" w:cs="Arial"/>
          <w:b/>
          <w:bCs/>
          <w:kern w:val="2"/>
          <w:sz w:val="24"/>
          <w:szCs w:val="24"/>
          <w:lang w:eastAsia="en-GB"/>
          <w14:ligatures w14:val="standardContextual"/>
        </w:rPr>
        <w:t>REPORTING ON INVESTMENT PERFORMANCE</w:t>
      </w:r>
    </w:p>
    <w:p w14:paraId="72A09401" w14:textId="77777777" w:rsidR="00017529" w:rsidRPr="006954A5" w:rsidRDefault="00017529" w:rsidP="00017529">
      <w:pPr>
        <w:spacing w:after="0"/>
        <w:rPr>
          <w:rFonts w:ascii="Arial" w:eastAsia="Calibri" w:hAnsi="Arial" w:cs="Arial"/>
          <w:b/>
          <w:kern w:val="2"/>
          <w:sz w:val="24"/>
          <w:szCs w:val="24"/>
          <w:lang w:eastAsia="en-GB"/>
          <w14:ligatures w14:val="standardContextual"/>
        </w:rPr>
      </w:pPr>
    </w:p>
    <w:p w14:paraId="155AD18B" w14:textId="424F6453" w:rsidR="00017529" w:rsidRPr="006954A5" w:rsidRDefault="00017529" w:rsidP="00205A37">
      <w:pPr>
        <w:spacing w:after="0"/>
        <w:ind w:left="720" w:hanging="720"/>
        <w:rPr>
          <w:rFonts w:ascii="Arial" w:eastAsia="Calibri" w:hAnsi="Arial" w:cs="Arial"/>
          <w:kern w:val="2"/>
          <w:sz w:val="24"/>
          <w:szCs w:val="24"/>
          <w:lang w:eastAsia="en-GB"/>
          <w14:ligatures w14:val="standardContextual"/>
        </w:rPr>
      </w:pPr>
      <w:r w:rsidRPr="006954A5">
        <w:rPr>
          <w:rFonts w:ascii="Arial" w:eastAsia="Calibri" w:hAnsi="Arial" w:cs="Arial"/>
          <w:kern w:val="2"/>
          <w:sz w:val="24"/>
          <w:szCs w:val="24"/>
          <w:lang w:eastAsia="en-GB"/>
          <w14:ligatures w14:val="standardContextual"/>
        </w:rPr>
        <w:t>7.1</w:t>
      </w:r>
      <w:r w:rsidRPr="006954A5">
        <w:rPr>
          <w:rFonts w:ascii="Arial" w:eastAsia="Calibri" w:hAnsi="Arial" w:cs="Arial"/>
          <w:kern w:val="2"/>
          <w:sz w:val="24"/>
          <w:szCs w:val="24"/>
          <w:lang w:eastAsia="en-GB"/>
          <w14:ligatures w14:val="standardContextual"/>
        </w:rPr>
        <w:tab/>
        <w:t xml:space="preserve">Investment performance statements will be circulated </w:t>
      </w:r>
      <w:r w:rsidR="00A63E0D" w:rsidRPr="006954A5">
        <w:rPr>
          <w:rFonts w:ascii="Arial" w:eastAsia="Calibri" w:hAnsi="Arial" w:cs="Arial"/>
          <w:kern w:val="2"/>
          <w:sz w:val="24"/>
          <w:szCs w:val="24"/>
          <w:lang w:eastAsia="en-GB"/>
          <w14:ligatures w14:val="standardContextual"/>
        </w:rPr>
        <w:t xml:space="preserve">half – yearly </w:t>
      </w:r>
      <w:r w:rsidRPr="006954A5">
        <w:rPr>
          <w:rFonts w:ascii="Arial" w:eastAsia="Calibri" w:hAnsi="Arial" w:cs="Arial"/>
          <w:kern w:val="2"/>
          <w:sz w:val="24"/>
          <w:szCs w:val="24"/>
          <w:lang w:eastAsia="en-GB"/>
          <w14:ligatures w14:val="standardContextual"/>
        </w:rPr>
        <w:t>to the Finan</w:t>
      </w:r>
      <w:r w:rsidR="000D4302" w:rsidRPr="006954A5">
        <w:rPr>
          <w:rFonts w:ascii="Arial" w:eastAsia="Calibri" w:hAnsi="Arial" w:cs="Arial"/>
          <w:kern w:val="2"/>
          <w:sz w:val="24"/>
          <w:szCs w:val="24"/>
          <w:lang w:eastAsia="en-GB"/>
          <w14:ligatures w14:val="standardContextual"/>
        </w:rPr>
        <w:t>ce and General Purposes</w:t>
      </w:r>
      <w:r w:rsidR="00A63E0D" w:rsidRPr="006954A5">
        <w:rPr>
          <w:rFonts w:ascii="Arial" w:eastAsia="Calibri" w:hAnsi="Arial" w:cs="Arial"/>
          <w:kern w:val="2"/>
          <w:sz w:val="24"/>
          <w:szCs w:val="24"/>
          <w:lang w:eastAsia="en-GB"/>
          <w14:ligatures w14:val="standardContextual"/>
        </w:rPr>
        <w:t xml:space="preserve"> Committee</w:t>
      </w:r>
      <w:r w:rsidRPr="006954A5">
        <w:rPr>
          <w:rFonts w:ascii="Arial" w:eastAsia="Calibri" w:hAnsi="Arial" w:cs="Arial"/>
          <w:kern w:val="2"/>
          <w:sz w:val="24"/>
          <w:szCs w:val="24"/>
          <w:lang w:eastAsia="en-GB"/>
          <w14:ligatures w14:val="standardContextual"/>
        </w:rPr>
        <w:t>.</w:t>
      </w:r>
    </w:p>
    <w:p w14:paraId="58258528" w14:textId="77777777" w:rsidR="00017529" w:rsidRPr="006954A5" w:rsidRDefault="00017529" w:rsidP="00017529">
      <w:pPr>
        <w:spacing w:after="0"/>
        <w:rPr>
          <w:rFonts w:ascii="Arial" w:eastAsia="Calibri" w:hAnsi="Arial" w:cs="Arial"/>
          <w:kern w:val="2"/>
          <w:sz w:val="24"/>
          <w:szCs w:val="24"/>
          <w:lang w:eastAsia="en-GB"/>
          <w14:ligatures w14:val="standardContextual"/>
        </w:rPr>
      </w:pPr>
    </w:p>
    <w:p w14:paraId="32722A32" w14:textId="041971C5" w:rsidR="00017529" w:rsidRPr="006954A5" w:rsidRDefault="00017529" w:rsidP="005A44DC">
      <w:pPr>
        <w:spacing w:after="0"/>
        <w:ind w:left="720" w:hanging="720"/>
        <w:rPr>
          <w:rFonts w:ascii="Arial" w:eastAsia="Calibri" w:hAnsi="Arial" w:cs="Arial"/>
          <w:kern w:val="2"/>
          <w:sz w:val="24"/>
          <w:szCs w:val="24"/>
          <w:lang w:eastAsia="en-GB"/>
          <w14:ligatures w14:val="standardContextual"/>
        </w:rPr>
      </w:pPr>
      <w:r w:rsidRPr="006954A5">
        <w:rPr>
          <w:rFonts w:ascii="Arial" w:eastAsia="Calibri" w:hAnsi="Arial" w:cs="Arial"/>
          <w:kern w:val="2"/>
          <w:sz w:val="24"/>
          <w:szCs w:val="24"/>
          <w:lang w:eastAsia="en-GB"/>
          <w14:ligatures w14:val="standardContextual"/>
        </w:rPr>
        <w:t>7.2</w:t>
      </w:r>
      <w:r w:rsidRPr="006954A5">
        <w:rPr>
          <w:rFonts w:ascii="Arial" w:eastAsia="Calibri" w:hAnsi="Arial" w:cs="Arial"/>
          <w:kern w:val="2"/>
          <w:sz w:val="24"/>
          <w:szCs w:val="24"/>
          <w:lang w:eastAsia="en-GB"/>
          <w14:ligatures w14:val="standardContextual"/>
        </w:rPr>
        <w:tab/>
        <w:t xml:space="preserve">The Council will ensure that the Committee and </w:t>
      </w:r>
      <w:r w:rsidR="00035F5C">
        <w:rPr>
          <w:rFonts w:ascii="Arial" w:eastAsia="Calibri" w:hAnsi="Arial" w:cs="Arial"/>
          <w:kern w:val="2"/>
          <w:sz w:val="24"/>
          <w:szCs w:val="24"/>
          <w:lang w:eastAsia="en-GB"/>
          <w14:ligatures w14:val="standardContextual"/>
        </w:rPr>
        <w:t>Clerk/</w:t>
      </w:r>
      <w:r w:rsidRPr="006954A5">
        <w:rPr>
          <w:rFonts w:ascii="Arial" w:eastAsia="Calibri" w:hAnsi="Arial" w:cs="Arial"/>
          <w:kern w:val="2"/>
          <w:sz w:val="24"/>
          <w:szCs w:val="24"/>
          <w:lang w:eastAsia="en-GB"/>
          <w14:ligatures w14:val="standardContextual"/>
        </w:rPr>
        <w:t>RFO have sufficient training to underpin their responsibility to scrutinise this treasury management function.</w:t>
      </w:r>
    </w:p>
    <w:p w14:paraId="60C991C2" w14:textId="77777777" w:rsidR="00017529" w:rsidRPr="006954A5" w:rsidRDefault="00017529" w:rsidP="00017529">
      <w:pPr>
        <w:spacing w:after="0"/>
        <w:rPr>
          <w:rFonts w:ascii="Arial" w:eastAsia="Calibri" w:hAnsi="Arial" w:cs="Arial"/>
          <w:kern w:val="2"/>
          <w:sz w:val="24"/>
          <w:szCs w:val="24"/>
          <w:lang w:eastAsia="en-GB"/>
          <w14:ligatures w14:val="standardContextual"/>
        </w:rPr>
      </w:pPr>
    </w:p>
    <w:p w14:paraId="2FE9B843" w14:textId="506E9851" w:rsidR="00017529" w:rsidRPr="006954A5" w:rsidRDefault="00017529" w:rsidP="005A44DC">
      <w:pPr>
        <w:spacing w:after="0"/>
        <w:ind w:left="720" w:hanging="720"/>
        <w:rPr>
          <w:rFonts w:ascii="Arial" w:eastAsia="Calibri" w:hAnsi="Arial" w:cs="Arial"/>
          <w:kern w:val="2"/>
          <w:sz w:val="24"/>
          <w:szCs w:val="24"/>
          <w:lang w:eastAsia="en-GB"/>
          <w14:ligatures w14:val="standardContextual"/>
        </w:rPr>
      </w:pPr>
      <w:r w:rsidRPr="006954A5">
        <w:rPr>
          <w:rFonts w:ascii="Arial" w:eastAsia="Calibri" w:hAnsi="Arial" w:cs="Arial"/>
          <w:kern w:val="2"/>
          <w:sz w:val="24"/>
          <w:szCs w:val="24"/>
          <w:lang w:eastAsia="en-GB"/>
          <w14:ligatures w14:val="standardContextual"/>
        </w:rPr>
        <w:t>7.3</w:t>
      </w:r>
      <w:r w:rsidRPr="006954A5">
        <w:rPr>
          <w:rFonts w:ascii="Arial" w:eastAsia="Calibri" w:hAnsi="Arial" w:cs="Arial"/>
          <w:kern w:val="2"/>
          <w:sz w:val="24"/>
          <w:szCs w:val="24"/>
          <w:lang w:eastAsia="en-GB"/>
          <w14:ligatures w14:val="standardContextual"/>
        </w:rPr>
        <w:tab/>
        <w:t xml:space="preserve">Investment forecasts for the coming year </w:t>
      </w:r>
      <w:r w:rsidR="00A510B2" w:rsidRPr="006954A5">
        <w:rPr>
          <w:rFonts w:ascii="Arial" w:eastAsia="Calibri" w:hAnsi="Arial" w:cs="Arial"/>
          <w:kern w:val="2"/>
          <w:sz w:val="24"/>
          <w:szCs w:val="24"/>
          <w:lang w:eastAsia="en-GB"/>
          <w14:ligatures w14:val="standardContextual"/>
        </w:rPr>
        <w:t>are</w:t>
      </w:r>
      <w:r w:rsidRPr="006954A5">
        <w:rPr>
          <w:rFonts w:ascii="Arial" w:eastAsia="Calibri" w:hAnsi="Arial" w:cs="Arial"/>
          <w:kern w:val="2"/>
          <w:sz w:val="24"/>
          <w:szCs w:val="24"/>
          <w:lang w:eastAsia="en-GB"/>
          <w14:ligatures w14:val="standardContextual"/>
        </w:rPr>
        <w:t xml:space="preserve"> accounted for when </w:t>
      </w:r>
      <w:r w:rsidR="00A510B2" w:rsidRPr="006954A5">
        <w:rPr>
          <w:rFonts w:ascii="Arial" w:eastAsia="Calibri" w:hAnsi="Arial" w:cs="Arial"/>
          <w:kern w:val="2"/>
          <w:sz w:val="24"/>
          <w:szCs w:val="24"/>
          <w:lang w:eastAsia="en-GB"/>
          <w14:ligatures w14:val="standardContextual"/>
        </w:rPr>
        <w:t>budgets are prepared</w:t>
      </w:r>
      <w:r w:rsidRPr="006954A5">
        <w:rPr>
          <w:rFonts w:ascii="Arial" w:eastAsia="Calibri" w:hAnsi="Arial" w:cs="Arial"/>
          <w:kern w:val="2"/>
          <w:sz w:val="24"/>
          <w:szCs w:val="24"/>
          <w:lang w:eastAsia="en-GB"/>
          <w14:ligatures w14:val="standardContextual"/>
        </w:rPr>
        <w:t>.  At the end of the financial year the RFO will report on investment activity to the</w:t>
      </w:r>
      <w:r w:rsidR="002846F1" w:rsidRPr="006954A5">
        <w:rPr>
          <w:rFonts w:ascii="Arial" w:eastAsia="Calibri" w:hAnsi="Arial" w:cs="Arial"/>
          <w:kern w:val="2"/>
          <w:sz w:val="24"/>
          <w:szCs w:val="24"/>
          <w:lang w:eastAsia="en-GB"/>
          <w14:ligatures w14:val="standardContextual"/>
        </w:rPr>
        <w:t xml:space="preserve"> Full Council</w:t>
      </w:r>
      <w:r w:rsidRPr="006954A5">
        <w:rPr>
          <w:rFonts w:ascii="Arial" w:eastAsia="Calibri" w:hAnsi="Arial" w:cs="Arial"/>
          <w:kern w:val="2"/>
          <w:sz w:val="24"/>
          <w:szCs w:val="24"/>
          <w:lang w:eastAsia="en-GB"/>
          <w14:ligatures w14:val="standardContextual"/>
        </w:rPr>
        <w:t>.</w:t>
      </w:r>
    </w:p>
    <w:p w14:paraId="344EB4B0" w14:textId="77777777" w:rsidR="00017529" w:rsidRPr="006954A5" w:rsidRDefault="00017529" w:rsidP="00017529">
      <w:pPr>
        <w:spacing w:after="0"/>
        <w:rPr>
          <w:rFonts w:ascii="Calibri" w:eastAsia="Calibri" w:hAnsi="Calibri" w:cs="Calibri"/>
          <w:kern w:val="2"/>
          <w:sz w:val="24"/>
          <w:szCs w:val="24"/>
          <w:lang w:eastAsia="en-GB"/>
          <w14:ligatures w14:val="standardContextual"/>
        </w:rPr>
      </w:pPr>
    </w:p>
    <w:p w14:paraId="4A768F51" w14:textId="77777777" w:rsidR="00017529" w:rsidRPr="006954A5" w:rsidRDefault="00017529" w:rsidP="00017529">
      <w:pPr>
        <w:spacing w:after="0"/>
        <w:rPr>
          <w:rFonts w:ascii="Arial" w:eastAsia="Calibri" w:hAnsi="Arial" w:cs="Arial"/>
          <w:b/>
          <w:bCs/>
          <w:kern w:val="2"/>
          <w:sz w:val="24"/>
          <w:szCs w:val="24"/>
          <w:lang w:eastAsia="en-GB"/>
          <w14:ligatures w14:val="standardContextual"/>
        </w:rPr>
      </w:pPr>
      <w:r w:rsidRPr="006954A5">
        <w:rPr>
          <w:rFonts w:ascii="Arial" w:eastAsia="Calibri" w:hAnsi="Arial" w:cs="Arial"/>
          <w:kern w:val="2"/>
          <w:sz w:val="24"/>
          <w:szCs w:val="24"/>
          <w:lang w:eastAsia="en-GB"/>
          <w14:ligatures w14:val="standardContextual"/>
        </w:rPr>
        <w:t>8</w:t>
      </w:r>
      <w:r w:rsidRPr="006954A5">
        <w:rPr>
          <w:rFonts w:ascii="Arial" w:eastAsia="Calibri" w:hAnsi="Arial" w:cs="Arial"/>
          <w:kern w:val="2"/>
          <w:sz w:val="24"/>
          <w:szCs w:val="24"/>
          <w:lang w:eastAsia="en-GB"/>
          <w14:ligatures w14:val="standardContextual"/>
        </w:rPr>
        <w:tab/>
      </w:r>
      <w:r w:rsidRPr="006954A5">
        <w:rPr>
          <w:rFonts w:ascii="Arial" w:eastAsia="Calibri" w:hAnsi="Arial" w:cs="Arial"/>
          <w:b/>
          <w:bCs/>
          <w:kern w:val="2"/>
          <w:sz w:val="24"/>
          <w:szCs w:val="24"/>
          <w:lang w:eastAsia="en-GB"/>
          <w14:ligatures w14:val="standardContextual"/>
        </w:rPr>
        <w:t>REVIEW AND AMENDMENT OF REGULATIONS</w:t>
      </w:r>
    </w:p>
    <w:p w14:paraId="4164E5ED" w14:textId="77777777" w:rsidR="00017529" w:rsidRPr="006954A5" w:rsidRDefault="00017529" w:rsidP="00017529">
      <w:pPr>
        <w:spacing w:after="0"/>
        <w:rPr>
          <w:rFonts w:ascii="Arial" w:eastAsia="Calibri" w:hAnsi="Arial" w:cs="Arial"/>
          <w:kern w:val="2"/>
          <w:sz w:val="24"/>
          <w:szCs w:val="24"/>
          <w:lang w:eastAsia="en-GB"/>
          <w14:ligatures w14:val="standardContextual"/>
        </w:rPr>
      </w:pPr>
    </w:p>
    <w:p w14:paraId="5D8FA5D5" w14:textId="77777777" w:rsidR="002846F1" w:rsidRPr="006954A5" w:rsidRDefault="00017529" w:rsidP="00017529">
      <w:pPr>
        <w:spacing w:after="0"/>
        <w:rPr>
          <w:rFonts w:ascii="Arial" w:eastAsia="Calibri" w:hAnsi="Arial" w:cs="Arial"/>
          <w:kern w:val="2"/>
          <w:sz w:val="24"/>
          <w:szCs w:val="24"/>
          <w:lang w:eastAsia="en-GB"/>
          <w14:ligatures w14:val="standardContextual"/>
        </w:rPr>
      </w:pPr>
      <w:r w:rsidRPr="006954A5">
        <w:rPr>
          <w:rFonts w:ascii="Arial" w:eastAsia="Calibri" w:hAnsi="Arial" w:cs="Arial"/>
          <w:kern w:val="2"/>
          <w:sz w:val="24"/>
          <w:szCs w:val="24"/>
          <w:lang w:eastAsia="en-GB"/>
          <w14:ligatures w14:val="standardContextual"/>
        </w:rPr>
        <w:t>8.1</w:t>
      </w:r>
      <w:r w:rsidRPr="006954A5">
        <w:rPr>
          <w:rFonts w:ascii="Arial" w:eastAsia="Calibri" w:hAnsi="Arial" w:cs="Arial"/>
          <w:kern w:val="2"/>
          <w:sz w:val="24"/>
          <w:szCs w:val="24"/>
          <w:lang w:eastAsia="en-GB"/>
          <w14:ligatures w14:val="standardContextual"/>
        </w:rPr>
        <w:tab/>
        <w:t xml:space="preserve">This Strategy will be reviewed annually.  </w:t>
      </w:r>
    </w:p>
    <w:p w14:paraId="3D5B7214" w14:textId="77777777" w:rsidR="002846F1" w:rsidRPr="006954A5" w:rsidRDefault="002846F1" w:rsidP="00017529">
      <w:pPr>
        <w:spacing w:after="0"/>
        <w:rPr>
          <w:rFonts w:ascii="Arial" w:eastAsia="Calibri" w:hAnsi="Arial" w:cs="Arial"/>
          <w:kern w:val="2"/>
          <w:sz w:val="24"/>
          <w:szCs w:val="24"/>
          <w:lang w:eastAsia="en-GB"/>
          <w14:ligatures w14:val="standardContextual"/>
        </w:rPr>
      </w:pPr>
    </w:p>
    <w:p w14:paraId="56D58439" w14:textId="35CAB680" w:rsidR="00017529" w:rsidRPr="006954A5" w:rsidRDefault="002846F1" w:rsidP="002846F1">
      <w:pPr>
        <w:spacing w:after="0"/>
        <w:ind w:left="720" w:hanging="720"/>
        <w:rPr>
          <w:rFonts w:ascii="Arial" w:eastAsia="Calibri" w:hAnsi="Arial" w:cs="Arial"/>
          <w:kern w:val="2"/>
          <w:sz w:val="24"/>
          <w:szCs w:val="24"/>
          <w:lang w:eastAsia="en-GB"/>
          <w14:ligatures w14:val="standardContextual"/>
        </w:rPr>
      </w:pPr>
      <w:r w:rsidRPr="006954A5">
        <w:rPr>
          <w:rFonts w:ascii="Arial" w:eastAsia="Calibri" w:hAnsi="Arial" w:cs="Arial"/>
          <w:kern w:val="2"/>
          <w:sz w:val="24"/>
          <w:szCs w:val="24"/>
          <w:lang w:eastAsia="en-GB"/>
          <w14:ligatures w14:val="standardContextual"/>
        </w:rPr>
        <w:lastRenderedPageBreak/>
        <w:t>8.2</w:t>
      </w:r>
      <w:r w:rsidRPr="006954A5">
        <w:rPr>
          <w:rFonts w:ascii="Arial" w:eastAsia="Calibri" w:hAnsi="Arial" w:cs="Arial"/>
          <w:kern w:val="2"/>
          <w:sz w:val="24"/>
          <w:szCs w:val="24"/>
          <w:lang w:eastAsia="en-GB"/>
          <w14:ligatures w14:val="standardContextual"/>
        </w:rPr>
        <w:tab/>
      </w:r>
      <w:r w:rsidR="00017529" w:rsidRPr="006954A5">
        <w:rPr>
          <w:rFonts w:ascii="Arial" w:eastAsia="Calibri" w:hAnsi="Arial" w:cs="Arial"/>
          <w:kern w:val="2"/>
          <w:sz w:val="24"/>
          <w:szCs w:val="24"/>
          <w:lang w:eastAsia="en-GB"/>
          <w14:ligatures w14:val="standardContextual"/>
        </w:rPr>
        <w:t>The annual strategy for the coming year will be prepared by the RFO and presented for approval by the Finan</w:t>
      </w:r>
      <w:r w:rsidR="000D4302" w:rsidRPr="006954A5">
        <w:rPr>
          <w:rFonts w:ascii="Arial" w:eastAsia="Calibri" w:hAnsi="Arial" w:cs="Arial"/>
          <w:kern w:val="2"/>
          <w:sz w:val="24"/>
          <w:szCs w:val="24"/>
          <w:lang w:eastAsia="en-GB"/>
          <w14:ligatures w14:val="standardContextual"/>
        </w:rPr>
        <w:t>ce and General Purposes</w:t>
      </w:r>
      <w:r w:rsidR="00390968" w:rsidRPr="006954A5">
        <w:rPr>
          <w:rFonts w:ascii="Arial" w:eastAsia="Calibri" w:hAnsi="Arial" w:cs="Arial"/>
          <w:kern w:val="2"/>
          <w:sz w:val="24"/>
          <w:szCs w:val="24"/>
          <w:lang w:eastAsia="en-GB"/>
          <w14:ligatures w14:val="standardContextual"/>
        </w:rPr>
        <w:t xml:space="preserve"> Committee</w:t>
      </w:r>
      <w:r w:rsidR="007B073C" w:rsidRPr="006954A5">
        <w:rPr>
          <w:rFonts w:ascii="Arial" w:eastAsia="Calibri" w:hAnsi="Arial" w:cs="Arial"/>
          <w:kern w:val="2"/>
          <w:sz w:val="24"/>
          <w:szCs w:val="24"/>
          <w:lang w:eastAsia="en-GB"/>
          <w14:ligatures w14:val="standardContextual"/>
        </w:rPr>
        <w:t xml:space="preserve"> before being adopted by </w:t>
      </w:r>
      <w:r w:rsidR="00F728E3" w:rsidRPr="006954A5">
        <w:rPr>
          <w:rFonts w:ascii="Arial" w:eastAsia="Calibri" w:hAnsi="Arial" w:cs="Arial"/>
          <w:kern w:val="2"/>
          <w:sz w:val="24"/>
          <w:szCs w:val="24"/>
          <w:lang w:eastAsia="en-GB"/>
          <w14:ligatures w14:val="standardContextual"/>
        </w:rPr>
        <w:t>Full Council.</w:t>
      </w:r>
    </w:p>
    <w:p w14:paraId="583E515A" w14:textId="77777777" w:rsidR="00017529" w:rsidRPr="006954A5" w:rsidRDefault="00017529" w:rsidP="00017529">
      <w:pPr>
        <w:spacing w:after="0"/>
        <w:rPr>
          <w:rFonts w:ascii="Calibri" w:eastAsia="Calibri" w:hAnsi="Calibri" w:cs="Calibri"/>
          <w:kern w:val="2"/>
          <w:sz w:val="24"/>
          <w:szCs w:val="24"/>
          <w:lang w:eastAsia="en-GB"/>
          <w14:ligatures w14:val="standardContextual"/>
        </w:rPr>
      </w:pPr>
    </w:p>
    <w:p w14:paraId="69C3D0F2" w14:textId="1C0AEE3B" w:rsidR="00017529" w:rsidRPr="006954A5" w:rsidRDefault="00017529" w:rsidP="00F728E3">
      <w:pPr>
        <w:spacing w:after="0"/>
        <w:ind w:left="720" w:hanging="720"/>
        <w:rPr>
          <w:rFonts w:ascii="Arial" w:eastAsia="Calibri" w:hAnsi="Arial" w:cs="Arial"/>
          <w:kern w:val="2"/>
          <w:sz w:val="24"/>
          <w:szCs w:val="24"/>
          <w:lang w:eastAsia="en-GB"/>
          <w14:ligatures w14:val="standardContextual"/>
        </w:rPr>
      </w:pPr>
      <w:r w:rsidRPr="006954A5">
        <w:rPr>
          <w:rFonts w:ascii="Arial" w:eastAsia="Calibri" w:hAnsi="Arial" w:cs="Arial"/>
          <w:kern w:val="2"/>
          <w:sz w:val="24"/>
          <w:szCs w:val="24"/>
          <w:lang w:eastAsia="en-GB"/>
          <w14:ligatures w14:val="standardContextual"/>
        </w:rPr>
        <w:t>8.</w:t>
      </w:r>
      <w:r w:rsidR="006954A5">
        <w:rPr>
          <w:rFonts w:ascii="Arial" w:eastAsia="Calibri" w:hAnsi="Arial" w:cs="Arial"/>
          <w:kern w:val="2"/>
          <w:sz w:val="24"/>
          <w:szCs w:val="24"/>
          <w:lang w:eastAsia="en-GB"/>
          <w14:ligatures w14:val="standardContextual"/>
        </w:rPr>
        <w:t>3</w:t>
      </w:r>
      <w:r w:rsidRPr="006954A5">
        <w:rPr>
          <w:rFonts w:ascii="Arial" w:eastAsia="Calibri" w:hAnsi="Arial" w:cs="Arial"/>
          <w:kern w:val="2"/>
          <w:sz w:val="24"/>
          <w:szCs w:val="24"/>
          <w:lang w:eastAsia="en-GB"/>
          <w14:ligatures w14:val="standardContextual"/>
        </w:rPr>
        <w:tab/>
        <w:t xml:space="preserve">The committee reserves the right to make variations to the Strategy at any time subject to the approval of Full Council.  Any variations will be made available to the public.  </w:t>
      </w:r>
    </w:p>
    <w:p w14:paraId="1833B94B" w14:textId="77777777" w:rsidR="00017529" w:rsidRPr="006954A5" w:rsidRDefault="00017529" w:rsidP="00017529">
      <w:pPr>
        <w:spacing w:after="0"/>
        <w:rPr>
          <w:rFonts w:ascii="Arial" w:eastAsia="Calibri" w:hAnsi="Arial" w:cs="Arial"/>
          <w:kern w:val="2"/>
          <w:sz w:val="24"/>
          <w:szCs w:val="24"/>
          <w:lang w:eastAsia="en-GB"/>
          <w14:ligatures w14:val="standardContextual"/>
        </w:rPr>
      </w:pPr>
    </w:p>
    <w:p w14:paraId="135842DF" w14:textId="77777777" w:rsidR="00017529" w:rsidRPr="006954A5" w:rsidRDefault="00017529" w:rsidP="00017529">
      <w:pPr>
        <w:spacing w:after="0"/>
        <w:rPr>
          <w:rFonts w:ascii="Arial" w:eastAsia="Calibri" w:hAnsi="Arial" w:cs="Arial"/>
          <w:b/>
          <w:bCs/>
          <w:kern w:val="2"/>
          <w:sz w:val="24"/>
          <w:szCs w:val="24"/>
          <w:lang w:eastAsia="en-GB"/>
          <w14:ligatures w14:val="standardContextual"/>
        </w:rPr>
      </w:pPr>
      <w:r w:rsidRPr="006954A5">
        <w:rPr>
          <w:rFonts w:ascii="Arial" w:eastAsia="Calibri" w:hAnsi="Arial" w:cs="Arial"/>
          <w:kern w:val="2"/>
          <w:sz w:val="24"/>
          <w:szCs w:val="24"/>
          <w:lang w:eastAsia="en-GB"/>
          <w14:ligatures w14:val="standardContextual"/>
        </w:rPr>
        <w:t>9.</w:t>
      </w:r>
      <w:r w:rsidRPr="006954A5">
        <w:rPr>
          <w:rFonts w:ascii="Arial" w:eastAsia="Calibri" w:hAnsi="Arial" w:cs="Arial"/>
          <w:kern w:val="2"/>
          <w:sz w:val="24"/>
          <w:szCs w:val="24"/>
          <w:lang w:eastAsia="en-GB"/>
          <w14:ligatures w14:val="standardContextual"/>
        </w:rPr>
        <w:tab/>
      </w:r>
      <w:r w:rsidRPr="006954A5">
        <w:rPr>
          <w:rFonts w:ascii="Arial" w:eastAsia="Calibri" w:hAnsi="Arial" w:cs="Arial"/>
          <w:b/>
          <w:bCs/>
          <w:kern w:val="2"/>
          <w:sz w:val="24"/>
          <w:szCs w:val="24"/>
          <w:lang w:eastAsia="en-GB"/>
          <w14:ligatures w14:val="standardContextual"/>
        </w:rPr>
        <w:t>FREEDOM OF INFORMATION</w:t>
      </w:r>
    </w:p>
    <w:p w14:paraId="3C0A2992" w14:textId="77777777" w:rsidR="00017529" w:rsidRPr="006954A5" w:rsidRDefault="00017529" w:rsidP="00017529">
      <w:pPr>
        <w:spacing w:after="0"/>
        <w:rPr>
          <w:rFonts w:ascii="Arial" w:eastAsia="Calibri" w:hAnsi="Arial" w:cs="Arial"/>
          <w:kern w:val="2"/>
          <w:sz w:val="24"/>
          <w:szCs w:val="24"/>
          <w:lang w:eastAsia="en-GB"/>
          <w14:ligatures w14:val="standardContextual"/>
        </w:rPr>
      </w:pPr>
    </w:p>
    <w:p w14:paraId="6CE9A798" w14:textId="1FF4219B" w:rsidR="00017529" w:rsidRPr="006954A5" w:rsidRDefault="00017529" w:rsidP="00017529">
      <w:pPr>
        <w:numPr>
          <w:ilvl w:val="1"/>
          <w:numId w:val="17"/>
        </w:numPr>
        <w:spacing w:after="0"/>
        <w:rPr>
          <w:rFonts w:ascii="Arial" w:eastAsia="Calibri" w:hAnsi="Arial" w:cs="Arial"/>
          <w:kern w:val="2"/>
          <w:sz w:val="24"/>
          <w:szCs w:val="24"/>
          <w:lang w:eastAsia="en-GB"/>
          <w14:ligatures w14:val="standardContextual"/>
        </w:rPr>
      </w:pPr>
      <w:r w:rsidRPr="006954A5">
        <w:rPr>
          <w:rFonts w:ascii="Arial" w:eastAsia="Calibri" w:hAnsi="Arial" w:cs="Arial"/>
          <w:kern w:val="2"/>
          <w:sz w:val="24"/>
          <w:szCs w:val="24"/>
          <w:lang w:eastAsia="en-GB"/>
          <w14:ligatures w14:val="standardContextual"/>
        </w:rPr>
        <w:t xml:space="preserve">    </w:t>
      </w:r>
      <w:r w:rsidR="00F728E3" w:rsidRPr="006954A5">
        <w:rPr>
          <w:rFonts w:ascii="Arial" w:eastAsia="Calibri" w:hAnsi="Arial" w:cs="Arial"/>
          <w:kern w:val="2"/>
          <w:sz w:val="24"/>
          <w:szCs w:val="24"/>
          <w:lang w:eastAsia="en-GB"/>
          <w14:ligatures w14:val="standardContextual"/>
        </w:rPr>
        <w:tab/>
      </w:r>
      <w:r w:rsidRPr="006954A5">
        <w:rPr>
          <w:rFonts w:ascii="Arial" w:eastAsia="Calibri" w:hAnsi="Arial" w:cs="Arial"/>
          <w:kern w:val="2"/>
          <w:sz w:val="24"/>
          <w:szCs w:val="24"/>
          <w:lang w:eastAsia="en-GB"/>
          <w14:ligatures w14:val="standardContextual"/>
        </w:rPr>
        <w:t xml:space="preserve">In accordance with the Freedom of Information Act 2000 this document  </w:t>
      </w:r>
    </w:p>
    <w:p w14:paraId="519AC7E0" w14:textId="2390D2E8" w:rsidR="00D56F17" w:rsidRPr="006954A5" w:rsidRDefault="00017529" w:rsidP="00A019BD">
      <w:pPr>
        <w:spacing w:after="0"/>
        <w:rPr>
          <w:rFonts w:ascii="Arial" w:hAnsi="Arial" w:cs="Arial"/>
          <w:sz w:val="24"/>
          <w:szCs w:val="24"/>
        </w:rPr>
      </w:pPr>
      <w:r w:rsidRPr="006954A5">
        <w:rPr>
          <w:rFonts w:ascii="Arial" w:eastAsia="Calibri" w:hAnsi="Arial" w:cs="Arial"/>
          <w:kern w:val="2"/>
          <w:sz w:val="24"/>
          <w:szCs w:val="24"/>
          <w:lang w:eastAsia="en-GB"/>
          <w14:ligatures w14:val="standardContextual"/>
        </w:rPr>
        <w:t xml:space="preserve">          </w:t>
      </w:r>
      <w:r w:rsidR="00F728E3" w:rsidRPr="006954A5">
        <w:rPr>
          <w:rFonts w:ascii="Arial" w:eastAsia="Calibri" w:hAnsi="Arial" w:cs="Arial"/>
          <w:kern w:val="2"/>
          <w:sz w:val="24"/>
          <w:szCs w:val="24"/>
          <w:lang w:eastAsia="en-GB"/>
          <w14:ligatures w14:val="standardContextual"/>
        </w:rPr>
        <w:tab/>
      </w:r>
      <w:r w:rsidRPr="006954A5">
        <w:rPr>
          <w:rFonts w:ascii="Arial" w:eastAsia="Calibri" w:hAnsi="Arial" w:cs="Arial"/>
          <w:kern w:val="2"/>
          <w:sz w:val="24"/>
          <w:szCs w:val="24"/>
          <w:lang w:eastAsia="en-GB"/>
          <w14:ligatures w14:val="standardContextual"/>
        </w:rPr>
        <w:t>will be posted on the Council’s website.</w:t>
      </w:r>
    </w:p>
    <w:sectPr w:rsidR="00D56F17" w:rsidRPr="006954A5" w:rsidSect="002D1AEB">
      <w:footerReference w:type="default" r:id="rId11"/>
      <w:headerReference w:type="first" r:id="rId12"/>
      <w:pgSz w:w="11906" w:h="16838" w:code="9"/>
      <w:pgMar w:top="1440" w:right="1440" w:bottom="1440" w:left="1440"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C121B" w14:textId="77777777" w:rsidR="00556F6D" w:rsidRDefault="00556F6D" w:rsidP="006F6133">
      <w:pPr>
        <w:spacing w:after="0" w:line="240" w:lineRule="auto"/>
      </w:pPr>
      <w:r>
        <w:separator/>
      </w:r>
    </w:p>
  </w:endnote>
  <w:endnote w:type="continuationSeparator" w:id="0">
    <w:p w14:paraId="15300634" w14:textId="77777777" w:rsidR="00556F6D" w:rsidRDefault="00556F6D" w:rsidP="006F6133">
      <w:pPr>
        <w:spacing w:after="0" w:line="240" w:lineRule="auto"/>
      </w:pPr>
      <w:r>
        <w:continuationSeparator/>
      </w:r>
    </w:p>
  </w:endnote>
  <w:endnote w:type="continuationNotice" w:id="1">
    <w:p w14:paraId="0D2FA627" w14:textId="77777777" w:rsidR="00556F6D" w:rsidRDefault="00556F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67688" w14:textId="77777777" w:rsidR="006617FB" w:rsidRPr="006617FB" w:rsidRDefault="006617FB">
    <w:pPr>
      <w:pStyle w:val="Footer"/>
      <w:jc w:val="center"/>
      <w:rPr>
        <w:caps/>
        <w:noProof/>
      </w:rPr>
    </w:pPr>
    <w:r w:rsidRPr="006617FB">
      <w:rPr>
        <w:caps/>
      </w:rPr>
      <w:fldChar w:fldCharType="begin"/>
    </w:r>
    <w:r w:rsidRPr="006617FB">
      <w:rPr>
        <w:caps/>
      </w:rPr>
      <w:instrText xml:space="preserve"> PAGE   \* MERGEFORMAT </w:instrText>
    </w:r>
    <w:r w:rsidRPr="006617FB">
      <w:rPr>
        <w:caps/>
      </w:rPr>
      <w:fldChar w:fldCharType="separate"/>
    </w:r>
    <w:r w:rsidRPr="006617FB">
      <w:rPr>
        <w:caps/>
        <w:noProof/>
      </w:rPr>
      <w:t>2</w:t>
    </w:r>
    <w:r w:rsidRPr="006617FB">
      <w:rPr>
        <w:caps/>
        <w:noProof/>
      </w:rPr>
      <w:fldChar w:fldCharType="end"/>
    </w:r>
  </w:p>
  <w:p w14:paraId="7877BAC2" w14:textId="77777777" w:rsidR="006617FB" w:rsidRDefault="00661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27528" w14:textId="77777777" w:rsidR="00556F6D" w:rsidRDefault="00556F6D" w:rsidP="006F6133">
      <w:pPr>
        <w:spacing w:after="0" w:line="240" w:lineRule="auto"/>
      </w:pPr>
      <w:r>
        <w:separator/>
      </w:r>
    </w:p>
  </w:footnote>
  <w:footnote w:type="continuationSeparator" w:id="0">
    <w:p w14:paraId="7691B537" w14:textId="77777777" w:rsidR="00556F6D" w:rsidRDefault="00556F6D" w:rsidP="006F6133">
      <w:pPr>
        <w:spacing w:after="0" w:line="240" w:lineRule="auto"/>
      </w:pPr>
      <w:r>
        <w:continuationSeparator/>
      </w:r>
    </w:p>
  </w:footnote>
  <w:footnote w:type="continuationNotice" w:id="1">
    <w:p w14:paraId="4EA0047A" w14:textId="77777777" w:rsidR="00556F6D" w:rsidRDefault="00556F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2AC50" w14:textId="1C4AC536" w:rsidR="00EC794C" w:rsidRPr="00EC794C" w:rsidRDefault="00EC794C" w:rsidP="00EC794C">
    <w:pPr>
      <w:pStyle w:val="Header"/>
      <w:jc w:val="right"/>
      <w:rPr>
        <w:rFonts w:ascii="Arial" w:hAnsi="Arial" w:cs="Arial"/>
        <w:sz w:val="24"/>
        <w:szCs w:val="24"/>
        <w:lang w:val="en-US"/>
      </w:rPr>
    </w:pPr>
    <w:r w:rsidRPr="00EC794C">
      <w:rPr>
        <w:rFonts w:ascii="Arial" w:hAnsi="Arial" w:cs="Arial"/>
        <w:sz w:val="24"/>
        <w:szCs w:val="24"/>
        <w:lang w:val="en-US"/>
      </w:rPr>
      <w:t>Finance and General Purpose Committee</w:t>
    </w:r>
  </w:p>
  <w:p w14:paraId="6C841AC9" w14:textId="348FCDFC" w:rsidR="00EC794C" w:rsidRPr="00EC794C" w:rsidRDefault="00EC794C" w:rsidP="00EC794C">
    <w:pPr>
      <w:pStyle w:val="Header"/>
      <w:jc w:val="right"/>
      <w:rPr>
        <w:rFonts w:ascii="Arial" w:hAnsi="Arial" w:cs="Arial"/>
        <w:sz w:val="24"/>
        <w:szCs w:val="24"/>
        <w:lang w:val="en-US"/>
      </w:rPr>
    </w:pPr>
    <w:r w:rsidRPr="00EC794C">
      <w:rPr>
        <w:rFonts w:ascii="Arial" w:hAnsi="Arial" w:cs="Arial"/>
        <w:sz w:val="24"/>
        <w:szCs w:val="24"/>
        <w:lang w:val="en-US"/>
      </w:rPr>
      <w:t>31 October 2024</w:t>
    </w:r>
  </w:p>
  <w:p w14:paraId="6194EB11" w14:textId="4E421D7C" w:rsidR="00EC794C" w:rsidRPr="00EC794C" w:rsidRDefault="00EC794C" w:rsidP="00EC794C">
    <w:pPr>
      <w:pStyle w:val="Header"/>
      <w:jc w:val="right"/>
      <w:rPr>
        <w:rFonts w:ascii="Arial" w:hAnsi="Arial" w:cs="Arial"/>
        <w:sz w:val="24"/>
        <w:szCs w:val="24"/>
        <w:lang w:val="en-US"/>
      </w:rPr>
    </w:pPr>
    <w:r w:rsidRPr="00EC794C">
      <w:rPr>
        <w:rFonts w:ascii="Arial" w:hAnsi="Arial" w:cs="Arial"/>
        <w:sz w:val="24"/>
        <w:szCs w:val="24"/>
        <w:lang w:val="en-US"/>
      </w:rPr>
      <w:t>Appendix FG099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6E410B7"/>
    <w:multiLevelType w:val="hybridMultilevel"/>
    <w:tmpl w:val="BC245BE0"/>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7E75BDC"/>
    <w:multiLevelType w:val="singleLevel"/>
    <w:tmpl w:val="9FC28718"/>
    <w:name w:val="Bullet 2"/>
    <w:lvl w:ilvl="0">
      <w:numFmt w:val="bullet"/>
      <w:lvlText w:val=""/>
      <w:lvlJc w:val="left"/>
      <w:pPr>
        <w:tabs>
          <w:tab w:val="num" w:pos="360"/>
        </w:tabs>
        <w:ind w:left="360" w:hanging="360"/>
      </w:pPr>
      <w:rPr>
        <w:rFonts w:ascii="Wingdings" w:eastAsia="Wingdings" w:hAnsi="Wingdings" w:cs="Wingdings"/>
      </w:rPr>
    </w:lvl>
  </w:abstractNum>
  <w:abstractNum w:abstractNumId="3" w15:restartNumberingAfterBreak="0">
    <w:nsid w:val="1034452B"/>
    <w:multiLevelType w:val="multilevel"/>
    <w:tmpl w:val="17EAC53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822C26"/>
    <w:multiLevelType w:val="multilevel"/>
    <w:tmpl w:val="32C887E8"/>
    <w:lvl w:ilvl="0">
      <w:start w:val="1"/>
      <w:numFmt w:val="upperLetter"/>
      <w:lvlText w:val="%1)"/>
      <w:lvlJc w:val="left"/>
      <w:pPr>
        <w:ind w:left="397" w:hanging="397"/>
      </w:pPr>
      <w:rPr>
        <w:rFonts w:ascii="Arial Narrow" w:hAnsi="Arial Narrow" w:hint="default"/>
        <w:b/>
        <w:i w:val="0"/>
        <w:color w:val="404040" w:themeColor="text1" w:themeTint="BF"/>
        <w:sz w:val="20"/>
      </w:rPr>
    </w:lvl>
    <w:lvl w:ilvl="1">
      <w:start w:val="1"/>
      <w:numFmt w:val="decimal"/>
      <w:pStyle w:val="GaramondNumbers"/>
      <w:lvlText w:val="%2)"/>
      <w:lvlJc w:val="left"/>
      <w:pPr>
        <w:ind w:left="397" w:hanging="397"/>
      </w:pPr>
      <w:rPr>
        <w:rFonts w:ascii="Garamond" w:hAnsi="Garamond" w:hint="default"/>
        <w:b w:val="0"/>
        <w:i w:val="0"/>
        <w:color w:val="auto"/>
        <w:sz w:val="20"/>
        <w14:shadow w14:blurRad="0" w14:dist="0" w14:dir="0" w14:sx="0" w14:sy="0" w14:kx="0" w14:ky="0" w14:algn="none">
          <w14:srgbClr w14:val="000000"/>
        </w14:shadow>
      </w:rPr>
    </w:lvl>
    <w:lvl w:ilvl="2">
      <w:start w:val="1"/>
      <w:numFmt w:val="lowerLetter"/>
      <w:lvlText w:val="%3)"/>
      <w:lvlJc w:val="left"/>
      <w:pPr>
        <w:ind w:left="1080" w:hanging="360"/>
      </w:pPr>
      <w:rPr>
        <w:rFonts w:ascii="Garamond" w:hAnsi="Garamond" w:hint="default"/>
        <w:b w:val="0"/>
        <w:i w:val="0"/>
        <w:color w:val="auto"/>
        <w:sz w:val="20"/>
      </w:rPr>
    </w:lvl>
    <w:lvl w:ilvl="3">
      <w:start w:val="1"/>
      <w:numFmt w:val="lowerRoman"/>
      <w:lvlText w:val="(%4)"/>
      <w:lvlJc w:val="left"/>
      <w:pPr>
        <w:ind w:left="1440" w:hanging="360"/>
      </w:pPr>
      <w:rPr>
        <w:rFonts w:ascii="Garamond" w:hAnsi="Garamond" w:hint="default"/>
        <w:b w:val="0"/>
        <w:i w:val="0"/>
        <w:color w:val="auto"/>
        <w:sz w:val="20"/>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394D7601"/>
    <w:multiLevelType w:val="hybridMultilevel"/>
    <w:tmpl w:val="8DB27E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EA61DE7"/>
    <w:multiLevelType w:val="multilevel"/>
    <w:tmpl w:val="8DCEB6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354F15"/>
    <w:multiLevelType w:val="multilevel"/>
    <w:tmpl w:val="9A9A90C0"/>
    <w:lvl w:ilvl="0">
      <w:start w:val="1"/>
      <w:numFmt w:val="decimal"/>
      <w:pStyle w:val="Heading1111"/>
      <w:lvlText w:val="%1."/>
      <w:lvlJc w:val="left"/>
      <w:pPr>
        <w:tabs>
          <w:tab w:val="num" w:pos="567"/>
        </w:tabs>
        <w:ind w:left="851" w:hanging="851"/>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9D52294"/>
    <w:multiLevelType w:val="multilevel"/>
    <w:tmpl w:val="9320C67E"/>
    <w:lvl w:ilvl="0">
      <w:start w:val="1"/>
      <w:numFmt w:val="upperLetter"/>
      <w:pStyle w:val="AnnexureHeading1"/>
      <w:lvlText w:val="%1."/>
      <w:lvlJc w:val="left"/>
      <w:pPr>
        <w:ind w:left="720" w:hanging="720"/>
      </w:pPr>
      <w:rPr>
        <w:b w:val="0"/>
        <w:bCs w:val="0"/>
        <w:i w:val="0"/>
        <w:iCs w:val="0"/>
        <w:caps w:val="0"/>
        <w:smallCaps w:val="0"/>
        <w:strike w:val="0"/>
        <w:dstrike w:val="0"/>
        <w:noProof w:val="0"/>
        <w:vanish w:val="0"/>
        <w:color w:val="000000"/>
        <w:spacing w:val="0"/>
        <w:kern w:val="0"/>
        <w:position w:val="0"/>
        <w:sz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ureHeading2"/>
      <w:lvlText w:val="(%2)"/>
      <w:lvlJc w:val="left"/>
      <w:pPr>
        <w:tabs>
          <w:tab w:val="num" w:pos="851"/>
        </w:tabs>
        <w:ind w:left="720" w:firstLine="0"/>
      </w:pPr>
      <w:rPr>
        <w:rFonts w:hint="default"/>
      </w:rPr>
    </w:lvl>
    <w:lvl w:ilvl="2">
      <w:start w:val="1"/>
      <w:numFmt w:val="decimal"/>
      <w:pStyle w:val="AnnexureHeading3"/>
      <w:lvlText w:val="%1.%2.%3"/>
      <w:lvlJc w:val="left"/>
      <w:pPr>
        <w:tabs>
          <w:tab w:val="num" w:pos="1701"/>
        </w:tabs>
        <w:ind w:left="1701" w:hanging="850"/>
      </w:pPr>
      <w:rPr>
        <w:rFonts w:hint="default"/>
      </w:rPr>
    </w:lvl>
    <w:lvl w:ilvl="3">
      <w:start w:val="1"/>
      <w:numFmt w:val="decimal"/>
      <w:pStyle w:val="AnnexureHeading4"/>
      <w:lvlText w:val="%1.%2.%3.%4"/>
      <w:lvlJc w:val="left"/>
      <w:pPr>
        <w:tabs>
          <w:tab w:val="num" w:pos="2835"/>
        </w:tabs>
        <w:ind w:left="2835" w:hanging="1134"/>
      </w:pPr>
      <w:rPr>
        <w:rFonts w:hint="default"/>
      </w:rPr>
    </w:lvl>
    <w:lvl w:ilvl="4">
      <w:start w:val="1"/>
      <w:numFmt w:val="decimal"/>
      <w:pStyle w:val="AnnexureHeading5"/>
      <w:lvlText w:val="%1.%2.%3.%4.%5"/>
      <w:lvlJc w:val="left"/>
      <w:pPr>
        <w:tabs>
          <w:tab w:val="num" w:pos="4253"/>
        </w:tabs>
        <w:ind w:left="4253" w:hanging="1418"/>
      </w:pPr>
      <w:rPr>
        <w:rFonts w:hint="default"/>
      </w:rPr>
    </w:lvl>
    <w:lvl w:ilvl="5">
      <w:start w:val="1"/>
      <w:numFmt w:val="decimal"/>
      <w:lvlText w:val="%5.%6"/>
      <w:lvlJc w:val="left"/>
      <w:pPr>
        <w:ind w:left="1701" w:hanging="850"/>
      </w:pPr>
      <w:rPr>
        <w:rFonts w:hint="default"/>
      </w:rPr>
    </w:lvl>
    <w:lvl w:ilvl="6">
      <w:start w:val="1"/>
      <w:numFmt w:val="decimal"/>
      <w:lvlText w:val="%5.%6.%7"/>
      <w:lvlJc w:val="left"/>
      <w:pPr>
        <w:ind w:left="2835" w:hanging="1134"/>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A4C0B46"/>
    <w:multiLevelType w:val="hybridMultilevel"/>
    <w:tmpl w:val="E7C4EDDE"/>
    <w:lvl w:ilvl="0" w:tplc="019AC22C">
      <w:start w:val="1"/>
      <w:numFmt w:val="upperLetter"/>
      <w:pStyle w:val="BodyBoldRed"/>
      <w:lvlText w:val="%1)"/>
      <w:lvlJc w:val="left"/>
      <w:pPr>
        <w:ind w:left="7874" w:hanging="360"/>
      </w:pPr>
      <w:rPr>
        <w:rFonts w:hint="default"/>
      </w:rPr>
    </w:lvl>
    <w:lvl w:ilvl="1" w:tplc="08090019" w:tentative="1">
      <w:start w:val="1"/>
      <w:numFmt w:val="lowerLetter"/>
      <w:lvlText w:val="%2."/>
      <w:lvlJc w:val="left"/>
      <w:pPr>
        <w:ind w:left="8594" w:hanging="360"/>
      </w:pPr>
    </w:lvl>
    <w:lvl w:ilvl="2" w:tplc="0809001B" w:tentative="1">
      <w:start w:val="1"/>
      <w:numFmt w:val="lowerRoman"/>
      <w:lvlText w:val="%3."/>
      <w:lvlJc w:val="right"/>
      <w:pPr>
        <w:ind w:left="9314" w:hanging="180"/>
      </w:pPr>
    </w:lvl>
    <w:lvl w:ilvl="3" w:tplc="0809000F" w:tentative="1">
      <w:start w:val="1"/>
      <w:numFmt w:val="decimal"/>
      <w:lvlText w:val="%4."/>
      <w:lvlJc w:val="left"/>
      <w:pPr>
        <w:ind w:left="10034" w:hanging="360"/>
      </w:pPr>
    </w:lvl>
    <w:lvl w:ilvl="4" w:tplc="08090019" w:tentative="1">
      <w:start w:val="1"/>
      <w:numFmt w:val="lowerLetter"/>
      <w:lvlText w:val="%5."/>
      <w:lvlJc w:val="left"/>
      <w:pPr>
        <w:ind w:left="10754" w:hanging="360"/>
      </w:pPr>
    </w:lvl>
    <w:lvl w:ilvl="5" w:tplc="0809001B" w:tentative="1">
      <w:start w:val="1"/>
      <w:numFmt w:val="lowerRoman"/>
      <w:lvlText w:val="%6."/>
      <w:lvlJc w:val="right"/>
      <w:pPr>
        <w:ind w:left="11474" w:hanging="180"/>
      </w:pPr>
    </w:lvl>
    <w:lvl w:ilvl="6" w:tplc="0809000F" w:tentative="1">
      <w:start w:val="1"/>
      <w:numFmt w:val="decimal"/>
      <w:lvlText w:val="%7."/>
      <w:lvlJc w:val="left"/>
      <w:pPr>
        <w:ind w:left="12194" w:hanging="360"/>
      </w:pPr>
    </w:lvl>
    <w:lvl w:ilvl="7" w:tplc="08090019" w:tentative="1">
      <w:start w:val="1"/>
      <w:numFmt w:val="lowerLetter"/>
      <w:lvlText w:val="%8."/>
      <w:lvlJc w:val="left"/>
      <w:pPr>
        <w:ind w:left="12914" w:hanging="360"/>
      </w:pPr>
    </w:lvl>
    <w:lvl w:ilvl="8" w:tplc="0809001B" w:tentative="1">
      <w:start w:val="1"/>
      <w:numFmt w:val="lowerRoman"/>
      <w:lvlText w:val="%9."/>
      <w:lvlJc w:val="right"/>
      <w:pPr>
        <w:ind w:left="13634" w:hanging="180"/>
      </w:pPr>
    </w:lvl>
  </w:abstractNum>
  <w:abstractNum w:abstractNumId="10" w15:restartNumberingAfterBreak="0">
    <w:nsid w:val="507300ED"/>
    <w:multiLevelType w:val="hybridMultilevel"/>
    <w:tmpl w:val="7E9A4C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1781EF7"/>
    <w:multiLevelType w:val="hybridMultilevel"/>
    <w:tmpl w:val="205E3816"/>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8A4590E"/>
    <w:multiLevelType w:val="multilevel"/>
    <w:tmpl w:val="6F3009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BD301F6"/>
    <w:multiLevelType w:val="hybridMultilevel"/>
    <w:tmpl w:val="E54C4058"/>
    <w:lvl w:ilvl="0" w:tplc="C06EDF44">
      <w:start w:val="1"/>
      <w:numFmt w:val="bullet"/>
      <w:lvlText w:val="•"/>
      <w:lvlJc w:val="left"/>
      <w:pPr>
        <w:ind w:left="900"/>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1" w:tplc="AEB2639A">
      <w:start w:val="1"/>
      <w:numFmt w:val="bullet"/>
      <w:lvlText w:val="o"/>
      <w:lvlJc w:val="left"/>
      <w:pPr>
        <w:ind w:left="2160"/>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2" w:tplc="95A8C932">
      <w:start w:val="1"/>
      <w:numFmt w:val="bullet"/>
      <w:lvlText w:val="▪"/>
      <w:lvlJc w:val="left"/>
      <w:pPr>
        <w:ind w:left="2880"/>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3" w:tplc="38384F24">
      <w:start w:val="1"/>
      <w:numFmt w:val="bullet"/>
      <w:lvlText w:val="•"/>
      <w:lvlJc w:val="left"/>
      <w:pPr>
        <w:ind w:left="3600"/>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4" w:tplc="9942FAFA">
      <w:start w:val="1"/>
      <w:numFmt w:val="bullet"/>
      <w:lvlText w:val="o"/>
      <w:lvlJc w:val="left"/>
      <w:pPr>
        <w:ind w:left="4320"/>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5" w:tplc="0286203C">
      <w:start w:val="1"/>
      <w:numFmt w:val="bullet"/>
      <w:lvlText w:val="▪"/>
      <w:lvlJc w:val="left"/>
      <w:pPr>
        <w:ind w:left="5040"/>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6" w:tplc="1F0427B0">
      <w:start w:val="1"/>
      <w:numFmt w:val="bullet"/>
      <w:lvlText w:val="•"/>
      <w:lvlJc w:val="left"/>
      <w:pPr>
        <w:ind w:left="5760"/>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7" w:tplc="03320DFE">
      <w:start w:val="1"/>
      <w:numFmt w:val="bullet"/>
      <w:lvlText w:val="o"/>
      <w:lvlJc w:val="left"/>
      <w:pPr>
        <w:ind w:left="6480"/>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8" w:tplc="1800F940">
      <w:start w:val="1"/>
      <w:numFmt w:val="bullet"/>
      <w:lvlText w:val="▪"/>
      <w:lvlJc w:val="left"/>
      <w:pPr>
        <w:ind w:left="7200"/>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abstractNum>
  <w:abstractNum w:abstractNumId="14" w15:restartNumberingAfterBreak="0">
    <w:nsid w:val="5DE57015"/>
    <w:multiLevelType w:val="hybridMultilevel"/>
    <w:tmpl w:val="4A169150"/>
    <w:lvl w:ilvl="0" w:tplc="405C83A4">
      <w:start w:val="1"/>
      <w:numFmt w:val="bullet"/>
      <w:lvlText w:val="•"/>
      <w:lvlJc w:val="left"/>
      <w:pPr>
        <w:ind w:left="1440"/>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1" w:tplc="AF526A64">
      <w:start w:val="1"/>
      <w:numFmt w:val="bullet"/>
      <w:lvlText w:val="o"/>
      <w:lvlJc w:val="left"/>
      <w:pPr>
        <w:ind w:left="2160"/>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2" w:tplc="E6560E58">
      <w:start w:val="1"/>
      <w:numFmt w:val="bullet"/>
      <w:lvlText w:val="▪"/>
      <w:lvlJc w:val="left"/>
      <w:pPr>
        <w:ind w:left="2880"/>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3" w:tplc="903854E4">
      <w:start w:val="1"/>
      <w:numFmt w:val="bullet"/>
      <w:lvlText w:val="•"/>
      <w:lvlJc w:val="left"/>
      <w:pPr>
        <w:ind w:left="3600"/>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4" w:tplc="3B56CA26">
      <w:start w:val="1"/>
      <w:numFmt w:val="bullet"/>
      <w:lvlText w:val="o"/>
      <w:lvlJc w:val="left"/>
      <w:pPr>
        <w:ind w:left="4320"/>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5" w:tplc="C68208EA">
      <w:start w:val="1"/>
      <w:numFmt w:val="bullet"/>
      <w:lvlText w:val="▪"/>
      <w:lvlJc w:val="left"/>
      <w:pPr>
        <w:ind w:left="5040"/>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6" w:tplc="35E2A296">
      <w:start w:val="1"/>
      <w:numFmt w:val="bullet"/>
      <w:lvlText w:val="•"/>
      <w:lvlJc w:val="left"/>
      <w:pPr>
        <w:ind w:left="5760"/>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7" w:tplc="D2406EFA">
      <w:start w:val="1"/>
      <w:numFmt w:val="bullet"/>
      <w:lvlText w:val="o"/>
      <w:lvlJc w:val="left"/>
      <w:pPr>
        <w:ind w:left="6480"/>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8" w:tplc="F46EE71C">
      <w:start w:val="1"/>
      <w:numFmt w:val="bullet"/>
      <w:lvlText w:val="▪"/>
      <w:lvlJc w:val="left"/>
      <w:pPr>
        <w:ind w:left="7200"/>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abstractNum>
  <w:abstractNum w:abstractNumId="15" w15:restartNumberingAfterBreak="0">
    <w:nsid w:val="609C0FA9"/>
    <w:multiLevelType w:val="hybridMultilevel"/>
    <w:tmpl w:val="F634D20A"/>
    <w:name w:val="Numbered list 1"/>
    <w:lvl w:ilvl="0" w:tplc="8130A9BE">
      <w:start w:val="1"/>
      <w:numFmt w:val="decimal"/>
      <w:lvlText w:val="%1)"/>
      <w:lvlJc w:val="left"/>
      <w:pPr>
        <w:ind w:left="329" w:firstLine="0"/>
      </w:pPr>
      <w:rPr>
        <w:rFonts w:ascii="Times New Roman" w:eastAsia="Times New Roman" w:hAnsi="Times New Roman" w:cs="Times New Roman"/>
        <w:b w:val="0"/>
        <w:color w:val="000000"/>
        <w:sz w:val="22"/>
        <w:szCs w:val="22"/>
        <w:u w:val="none" w:color="000000"/>
        <w:shd w:val="clear" w:color="auto" w:fill="auto"/>
        <w:vertAlign w:val="baseline"/>
      </w:rPr>
    </w:lvl>
    <w:lvl w:ilvl="1" w:tplc="68089544">
      <w:start w:val="1"/>
      <w:numFmt w:val="lowerLetter"/>
      <w:lvlText w:val="%2"/>
      <w:lvlJc w:val="left"/>
      <w:pPr>
        <w:ind w:left="1080" w:firstLine="0"/>
      </w:pPr>
      <w:rPr>
        <w:rFonts w:ascii="Times New Roman" w:eastAsia="Times New Roman" w:hAnsi="Times New Roman" w:cs="Times New Roman"/>
        <w:b w:val="0"/>
        <w:color w:val="000000"/>
        <w:sz w:val="22"/>
        <w:szCs w:val="22"/>
        <w:u w:val="none" w:color="000000"/>
        <w:shd w:val="clear" w:color="auto" w:fill="auto"/>
        <w:vertAlign w:val="baseline"/>
      </w:rPr>
    </w:lvl>
    <w:lvl w:ilvl="2" w:tplc="F490D576">
      <w:start w:val="1"/>
      <w:numFmt w:val="lowerRoman"/>
      <w:lvlText w:val="%3"/>
      <w:lvlJc w:val="left"/>
      <w:pPr>
        <w:ind w:left="1800" w:firstLine="0"/>
      </w:pPr>
      <w:rPr>
        <w:rFonts w:ascii="Times New Roman" w:eastAsia="Times New Roman" w:hAnsi="Times New Roman" w:cs="Times New Roman"/>
        <w:b w:val="0"/>
        <w:color w:val="000000"/>
        <w:sz w:val="22"/>
        <w:szCs w:val="22"/>
        <w:u w:val="none" w:color="000000"/>
        <w:shd w:val="clear" w:color="auto" w:fill="auto"/>
        <w:vertAlign w:val="baseline"/>
      </w:rPr>
    </w:lvl>
    <w:lvl w:ilvl="3" w:tplc="C972BC1C">
      <w:start w:val="1"/>
      <w:numFmt w:val="decimal"/>
      <w:lvlText w:val="%4"/>
      <w:lvlJc w:val="left"/>
      <w:pPr>
        <w:ind w:left="2520" w:firstLine="0"/>
      </w:pPr>
      <w:rPr>
        <w:rFonts w:ascii="Times New Roman" w:eastAsia="Times New Roman" w:hAnsi="Times New Roman" w:cs="Times New Roman"/>
        <w:b w:val="0"/>
        <w:color w:val="000000"/>
        <w:sz w:val="22"/>
        <w:szCs w:val="22"/>
        <w:u w:val="none" w:color="000000"/>
        <w:shd w:val="clear" w:color="auto" w:fill="auto"/>
        <w:vertAlign w:val="baseline"/>
      </w:rPr>
    </w:lvl>
    <w:lvl w:ilvl="4" w:tplc="FAA2D502">
      <w:start w:val="1"/>
      <w:numFmt w:val="lowerLetter"/>
      <w:lvlText w:val="%5"/>
      <w:lvlJc w:val="left"/>
      <w:pPr>
        <w:ind w:left="3240" w:firstLine="0"/>
      </w:pPr>
      <w:rPr>
        <w:rFonts w:ascii="Times New Roman" w:eastAsia="Times New Roman" w:hAnsi="Times New Roman" w:cs="Times New Roman"/>
        <w:b w:val="0"/>
        <w:color w:val="000000"/>
        <w:sz w:val="22"/>
        <w:szCs w:val="22"/>
        <w:u w:val="none" w:color="000000"/>
        <w:shd w:val="clear" w:color="auto" w:fill="auto"/>
        <w:vertAlign w:val="baseline"/>
      </w:rPr>
    </w:lvl>
    <w:lvl w:ilvl="5" w:tplc="59765F68">
      <w:start w:val="1"/>
      <w:numFmt w:val="lowerRoman"/>
      <w:lvlText w:val="%6"/>
      <w:lvlJc w:val="left"/>
      <w:pPr>
        <w:ind w:left="3960" w:firstLine="0"/>
      </w:pPr>
      <w:rPr>
        <w:rFonts w:ascii="Times New Roman" w:eastAsia="Times New Roman" w:hAnsi="Times New Roman" w:cs="Times New Roman"/>
        <w:b w:val="0"/>
        <w:color w:val="000000"/>
        <w:sz w:val="22"/>
        <w:szCs w:val="22"/>
        <w:u w:val="none" w:color="000000"/>
        <w:shd w:val="clear" w:color="auto" w:fill="auto"/>
        <w:vertAlign w:val="baseline"/>
      </w:rPr>
    </w:lvl>
    <w:lvl w:ilvl="6" w:tplc="721CF6C6">
      <w:start w:val="1"/>
      <w:numFmt w:val="decimal"/>
      <w:lvlText w:val="%7"/>
      <w:lvlJc w:val="left"/>
      <w:pPr>
        <w:ind w:left="4680" w:firstLine="0"/>
      </w:pPr>
      <w:rPr>
        <w:rFonts w:ascii="Times New Roman" w:eastAsia="Times New Roman" w:hAnsi="Times New Roman" w:cs="Times New Roman"/>
        <w:b w:val="0"/>
        <w:color w:val="000000"/>
        <w:sz w:val="22"/>
        <w:szCs w:val="22"/>
        <w:u w:val="none" w:color="000000"/>
        <w:shd w:val="clear" w:color="auto" w:fill="auto"/>
        <w:vertAlign w:val="baseline"/>
      </w:rPr>
    </w:lvl>
    <w:lvl w:ilvl="7" w:tplc="8EF4C53E">
      <w:start w:val="1"/>
      <w:numFmt w:val="lowerLetter"/>
      <w:lvlText w:val="%8"/>
      <w:lvlJc w:val="left"/>
      <w:pPr>
        <w:ind w:left="5400" w:firstLine="0"/>
      </w:pPr>
      <w:rPr>
        <w:rFonts w:ascii="Times New Roman" w:eastAsia="Times New Roman" w:hAnsi="Times New Roman" w:cs="Times New Roman"/>
        <w:b w:val="0"/>
        <w:color w:val="000000"/>
        <w:sz w:val="22"/>
        <w:szCs w:val="22"/>
        <w:u w:val="none" w:color="000000"/>
        <w:shd w:val="clear" w:color="auto" w:fill="auto"/>
        <w:vertAlign w:val="baseline"/>
      </w:rPr>
    </w:lvl>
    <w:lvl w:ilvl="8" w:tplc="98765014">
      <w:start w:val="1"/>
      <w:numFmt w:val="lowerRoman"/>
      <w:lvlText w:val="%9"/>
      <w:lvlJc w:val="left"/>
      <w:pPr>
        <w:ind w:left="6120" w:firstLine="0"/>
      </w:pPr>
      <w:rPr>
        <w:rFonts w:ascii="Times New Roman" w:eastAsia="Times New Roman" w:hAnsi="Times New Roman" w:cs="Times New Roman"/>
        <w:b w:val="0"/>
        <w:color w:val="000000"/>
        <w:sz w:val="22"/>
        <w:szCs w:val="22"/>
        <w:u w:val="none" w:color="000000"/>
        <w:shd w:val="clear" w:color="auto" w:fill="auto"/>
        <w:vertAlign w:val="baseline"/>
      </w:rPr>
    </w:lvl>
  </w:abstractNum>
  <w:abstractNum w:abstractNumId="16" w15:restartNumberingAfterBreak="0">
    <w:nsid w:val="65CE63B0"/>
    <w:multiLevelType w:val="multilevel"/>
    <w:tmpl w:val="2EBC2A4A"/>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7" w15:restartNumberingAfterBreak="0">
    <w:nsid w:val="6815289C"/>
    <w:multiLevelType w:val="hybridMultilevel"/>
    <w:tmpl w:val="25E09020"/>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D854826"/>
    <w:multiLevelType w:val="hybridMultilevel"/>
    <w:tmpl w:val="2CCA9660"/>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72F022E6"/>
    <w:multiLevelType w:val="multilevel"/>
    <w:tmpl w:val="BFFCAAEC"/>
    <w:lvl w:ilvl="0">
      <w:start w:val="1"/>
      <w:numFmt w:val="decimal"/>
      <w:pStyle w:val="ScheduleHeading1"/>
      <w:lvlText w:val="%1."/>
      <w:lvlJc w:val="left"/>
      <w:pPr>
        <w:tabs>
          <w:tab w:val="num" w:pos="851"/>
        </w:tabs>
        <w:ind w:left="723" w:hanging="723"/>
      </w:pPr>
      <w:rPr>
        <w:rFonts w:ascii="Century Gothic" w:hAnsi="Century Gothic" w:cs="Times New Roman"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cheduleHeading2"/>
      <w:lvlText w:val="(%2)"/>
      <w:lvlJc w:val="left"/>
      <w:pPr>
        <w:tabs>
          <w:tab w:val="num" w:pos="720"/>
        </w:tabs>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ScheduleHeading3"/>
      <w:lvlText w:val="(%3)"/>
      <w:lvlJc w:val="left"/>
      <w:pPr>
        <w:ind w:left="1440" w:firstLine="0"/>
      </w:pPr>
      <w:rPr>
        <w:rFonts w:hint="default"/>
      </w:rPr>
    </w:lvl>
    <w:lvl w:ilvl="3">
      <w:start w:val="1"/>
      <w:numFmt w:val="decimal"/>
      <w:pStyle w:val="ScheduleHeading4"/>
      <w:lvlText w:val="%1.%2.%3.%4"/>
      <w:lvlJc w:val="left"/>
      <w:pPr>
        <w:tabs>
          <w:tab w:val="num" w:pos="2835"/>
        </w:tabs>
        <w:ind w:left="2835" w:hanging="1134"/>
      </w:pPr>
      <w:rPr>
        <w:rFonts w:hint="default"/>
      </w:rPr>
    </w:lvl>
    <w:lvl w:ilvl="4">
      <w:start w:val="1"/>
      <w:numFmt w:val="decimal"/>
      <w:pStyle w:val="ScheduleHeading5"/>
      <w:lvlText w:val="%1.%2.%3.%4.%5."/>
      <w:lvlJc w:val="left"/>
      <w:pPr>
        <w:tabs>
          <w:tab w:val="num" w:pos="4253"/>
        </w:tabs>
        <w:ind w:left="4253"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3124FA3"/>
    <w:multiLevelType w:val="hybridMultilevel"/>
    <w:tmpl w:val="43209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681286"/>
    <w:multiLevelType w:val="hybridMultilevel"/>
    <w:tmpl w:val="BB02ACE6"/>
    <w:lvl w:ilvl="0" w:tplc="6C50A7C2">
      <w:start w:val="1"/>
      <w:numFmt w:val="bullet"/>
      <w:lvlText w:val="•"/>
      <w:lvlJc w:val="left"/>
      <w:pPr>
        <w:ind w:left="1598"/>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1" w:tplc="4B9E7A82">
      <w:start w:val="1"/>
      <w:numFmt w:val="bullet"/>
      <w:lvlText w:val="o"/>
      <w:lvlJc w:val="left"/>
      <w:pPr>
        <w:ind w:left="2407"/>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2" w:tplc="5AEC7A02">
      <w:start w:val="1"/>
      <w:numFmt w:val="bullet"/>
      <w:lvlText w:val="▪"/>
      <w:lvlJc w:val="left"/>
      <w:pPr>
        <w:ind w:left="3127"/>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3" w:tplc="27A8C220">
      <w:start w:val="1"/>
      <w:numFmt w:val="bullet"/>
      <w:lvlText w:val="•"/>
      <w:lvlJc w:val="left"/>
      <w:pPr>
        <w:ind w:left="3847"/>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4" w:tplc="FD7039F4">
      <w:start w:val="1"/>
      <w:numFmt w:val="bullet"/>
      <w:lvlText w:val="o"/>
      <w:lvlJc w:val="left"/>
      <w:pPr>
        <w:ind w:left="4567"/>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5" w:tplc="CD62B3C8">
      <w:start w:val="1"/>
      <w:numFmt w:val="bullet"/>
      <w:lvlText w:val="▪"/>
      <w:lvlJc w:val="left"/>
      <w:pPr>
        <w:ind w:left="5287"/>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6" w:tplc="AC802B9A">
      <w:start w:val="1"/>
      <w:numFmt w:val="bullet"/>
      <w:lvlText w:val="•"/>
      <w:lvlJc w:val="left"/>
      <w:pPr>
        <w:ind w:left="6007"/>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7" w:tplc="24565B4C">
      <w:start w:val="1"/>
      <w:numFmt w:val="bullet"/>
      <w:lvlText w:val="o"/>
      <w:lvlJc w:val="left"/>
      <w:pPr>
        <w:ind w:left="6727"/>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8" w:tplc="F5788F42">
      <w:start w:val="1"/>
      <w:numFmt w:val="bullet"/>
      <w:lvlText w:val="▪"/>
      <w:lvlJc w:val="left"/>
      <w:pPr>
        <w:ind w:left="7447"/>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abstractNum>
  <w:abstractNum w:abstractNumId="22" w15:restartNumberingAfterBreak="0">
    <w:nsid w:val="7A9F01A9"/>
    <w:multiLevelType w:val="hybridMultilevel"/>
    <w:tmpl w:val="C7EAD62E"/>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num w:numId="1" w16cid:durableId="1517570755">
    <w:abstractNumId w:val="0"/>
  </w:num>
  <w:num w:numId="2" w16cid:durableId="2042247374">
    <w:abstractNumId w:val="7"/>
  </w:num>
  <w:num w:numId="3" w16cid:durableId="593633405">
    <w:abstractNumId w:val="19"/>
  </w:num>
  <w:num w:numId="4" w16cid:durableId="487987049">
    <w:abstractNumId w:val="8"/>
  </w:num>
  <w:num w:numId="5" w16cid:durableId="171409334">
    <w:abstractNumId w:val="4"/>
  </w:num>
  <w:num w:numId="6" w16cid:durableId="2134322426">
    <w:abstractNumId w:val="9"/>
  </w:num>
  <w:num w:numId="7" w16cid:durableId="2142838834">
    <w:abstractNumId w:val="15"/>
  </w:num>
  <w:num w:numId="8" w16cid:durableId="1550455730">
    <w:abstractNumId w:val="6"/>
  </w:num>
  <w:num w:numId="9" w16cid:durableId="1488009007">
    <w:abstractNumId w:val="3"/>
  </w:num>
  <w:num w:numId="10" w16cid:durableId="992099454">
    <w:abstractNumId w:val="20"/>
  </w:num>
  <w:num w:numId="11" w16cid:durableId="1506941096">
    <w:abstractNumId w:val="12"/>
  </w:num>
  <w:num w:numId="12" w16cid:durableId="1656226599">
    <w:abstractNumId w:val="14"/>
  </w:num>
  <w:num w:numId="13" w16cid:durableId="398066168">
    <w:abstractNumId w:val="21"/>
  </w:num>
  <w:num w:numId="14" w16cid:durableId="734209170">
    <w:abstractNumId w:val="13"/>
  </w:num>
  <w:num w:numId="15" w16cid:durableId="1193109703">
    <w:abstractNumId w:val="18"/>
  </w:num>
  <w:num w:numId="16" w16cid:durableId="868685175">
    <w:abstractNumId w:val="11"/>
  </w:num>
  <w:num w:numId="17" w16cid:durableId="1583641007">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5197441">
    <w:abstractNumId w:val="17"/>
  </w:num>
  <w:num w:numId="19" w16cid:durableId="127095884">
    <w:abstractNumId w:val="22"/>
  </w:num>
  <w:num w:numId="20" w16cid:durableId="487404237">
    <w:abstractNumId w:val="1"/>
  </w:num>
  <w:num w:numId="21" w16cid:durableId="950361319">
    <w:abstractNumId w:val="1"/>
  </w:num>
  <w:num w:numId="22" w16cid:durableId="1534879785">
    <w:abstractNumId w:val="5"/>
  </w:num>
  <w:num w:numId="23" w16cid:durableId="141867353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88"/>
    <w:rsid w:val="0001177C"/>
    <w:rsid w:val="00017529"/>
    <w:rsid w:val="00021CF0"/>
    <w:rsid w:val="000263C5"/>
    <w:rsid w:val="00034DF9"/>
    <w:rsid w:val="00035F5C"/>
    <w:rsid w:val="00036D21"/>
    <w:rsid w:val="0003728D"/>
    <w:rsid w:val="00042068"/>
    <w:rsid w:val="0004324C"/>
    <w:rsid w:val="000521FF"/>
    <w:rsid w:val="000550D4"/>
    <w:rsid w:val="00061D44"/>
    <w:rsid w:val="00073DFE"/>
    <w:rsid w:val="00084FCC"/>
    <w:rsid w:val="00092250"/>
    <w:rsid w:val="00094118"/>
    <w:rsid w:val="00094318"/>
    <w:rsid w:val="000A4373"/>
    <w:rsid w:val="000A5C17"/>
    <w:rsid w:val="000B2077"/>
    <w:rsid w:val="000D4302"/>
    <w:rsid w:val="000D6715"/>
    <w:rsid w:val="000E332E"/>
    <w:rsid w:val="000E4594"/>
    <w:rsid w:val="000F2C44"/>
    <w:rsid w:val="000F6E66"/>
    <w:rsid w:val="000F74E9"/>
    <w:rsid w:val="00106E0E"/>
    <w:rsid w:val="001112C3"/>
    <w:rsid w:val="00117E9C"/>
    <w:rsid w:val="001251C8"/>
    <w:rsid w:val="0013206C"/>
    <w:rsid w:val="001403EE"/>
    <w:rsid w:val="001474C8"/>
    <w:rsid w:val="00150675"/>
    <w:rsid w:val="00152E20"/>
    <w:rsid w:val="00153942"/>
    <w:rsid w:val="001574C8"/>
    <w:rsid w:val="00157FBB"/>
    <w:rsid w:val="00164650"/>
    <w:rsid w:val="00165C7E"/>
    <w:rsid w:val="001671DF"/>
    <w:rsid w:val="001732E3"/>
    <w:rsid w:val="00173E7F"/>
    <w:rsid w:val="00176A3E"/>
    <w:rsid w:val="00177C26"/>
    <w:rsid w:val="00180F90"/>
    <w:rsid w:val="00184CD0"/>
    <w:rsid w:val="00184DE1"/>
    <w:rsid w:val="00184F18"/>
    <w:rsid w:val="001B16C2"/>
    <w:rsid w:val="001B19A7"/>
    <w:rsid w:val="001B5107"/>
    <w:rsid w:val="001B65FA"/>
    <w:rsid w:val="001C0571"/>
    <w:rsid w:val="001C22C1"/>
    <w:rsid w:val="001D7292"/>
    <w:rsid w:val="001E4722"/>
    <w:rsid w:val="00205A37"/>
    <w:rsid w:val="00206264"/>
    <w:rsid w:val="0020690D"/>
    <w:rsid w:val="002072F4"/>
    <w:rsid w:val="00210CEA"/>
    <w:rsid w:val="00213164"/>
    <w:rsid w:val="0021432C"/>
    <w:rsid w:val="0022133B"/>
    <w:rsid w:val="002264C8"/>
    <w:rsid w:val="002317F5"/>
    <w:rsid w:val="00231CD2"/>
    <w:rsid w:val="00233397"/>
    <w:rsid w:val="00233E36"/>
    <w:rsid w:val="002359FA"/>
    <w:rsid w:val="0023637F"/>
    <w:rsid w:val="002367DC"/>
    <w:rsid w:val="00240E3B"/>
    <w:rsid w:val="0024146C"/>
    <w:rsid w:val="002416B2"/>
    <w:rsid w:val="00242FF3"/>
    <w:rsid w:val="00262642"/>
    <w:rsid w:val="00273942"/>
    <w:rsid w:val="00273BD5"/>
    <w:rsid w:val="00284547"/>
    <w:rsid w:val="002846F1"/>
    <w:rsid w:val="00284F99"/>
    <w:rsid w:val="002936C0"/>
    <w:rsid w:val="002943AB"/>
    <w:rsid w:val="002A067E"/>
    <w:rsid w:val="002A2076"/>
    <w:rsid w:val="002A23CB"/>
    <w:rsid w:val="002A7943"/>
    <w:rsid w:val="002B6847"/>
    <w:rsid w:val="002B7A22"/>
    <w:rsid w:val="002C0BED"/>
    <w:rsid w:val="002C2316"/>
    <w:rsid w:val="002C2D11"/>
    <w:rsid w:val="002D1AEB"/>
    <w:rsid w:val="002D73BC"/>
    <w:rsid w:val="002E5607"/>
    <w:rsid w:val="002E644B"/>
    <w:rsid w:val="002F3FD6"/>
    <w:rsid w:val="002F4A87"/>
    <w:rsid w:val="00301E38"/>
    <w:rsid w:val="00302151"/>
    <w:rsid w:val="00302641"/>
    <w:rsid w:val="00303509"/>
    <w:rsid w:val="003151AB"/>
    <w:rsid w:val="00331FAB"/>
    <w:rsid w:val="00336CE5"/>
    <w:rsid w:val="003409EA"/>
    <w:rsid w:val="00341021"/>
    <w:rsid w:val="00343CDB"/>
    <w:rsid w:val="00354D5E"/>
    <w:rsid w:val="003569A6"/>
    <w:rsid w:val="0036355B"/>
    <w:rsid w:val="00366747"/>
    <w:rsid w:val="00372BBB"/>
    <w:rsid w:val="00372FD5"/>
    <w:rsid w:val="00382A1E"/>
    <w:rsid w:val="00387D4B"/>
    <w:rsid w:val="00390968"/>
    <w:rsid w:val="00391CBD"/>
    <w:rsid w:val="0039223F"/>
    <w:rsid w:val="003A78A6"/>
    <w:rsid w:val="003B2FAB"/>
    <w:rsid w:val="003B70AC"/>
    <w:rsid w:val="003C12D6"/>
    <w:rsid w:val="003D151F"/>
    <w:rsid w:val="003D38BA"/>
    <w:rsid w:val="003D4459"/>
    <w:rsid w:val="003E4DED"/>
    <w:rsid w:val="003E69A8"/>
    <w:rsid w:val="004028A8"/>
    <w:rsid w:val="00405574"/>
    <w:rsid w:val="00413BFF"/>
    <w:rsid w:val="00431661"/>
    <w:rsid w:val="004508FC"/>
    <w:rsid w:val="00456973"/>
    <w:rsid w:val="00456DFF"/>
    <w:rsid w:val="00466872"/>
    <w:rsid w:val="00473856"/>
    <w:rsid w:val="00475B8E"/>
    <w:rsid w:val="00480D55"/>
    <w:rsid w:val="00482544"/>
    <w:rsid w:val="004A1DF8"/>
    <w:rsid w:val="004A6F11"/>
    <w:rsid w:val="004C0395"/>
    <w:rsid w:val="004C5208"/>
    <w:rsid w:val="004E6221"/>
    <w:rsid w:val="004F1896"/>
    <w:rsid w:val="00504840"/>
    <w:rsid w:val="00517496"/>
    <w:rsid w:val="00520D66"/>
    <w:rsid w:val="00524F09"/>
    <w:rsid w:val="00534519"/>
    <w:rsid w:val="005347C8"/>
    <w:rsid w:val="005417B8"/>
    <w:rsid w:val="00541836"/>
    <w:rsid w:val="005440D7"/>
    <w:rsid w:val="00546C04"/>
    <w:rsid w:val="00554259"/>
    <w:rsid w:val="00556F6D"/>
    <w:rsid w:val="005770E5"/>
    <w:rsid w:val="00583DAD"/>
    <w:rsid w:val="00586E65"/>
    <w:rsid w:val="005A2697"/>
    <w:rsid w:val="005A44DC"/>
    <w:rsid w:val="005A5BE6"/>
    <w:rsid w:val="005B0886"/>
    <w:rsid w:val="005B1E5E"/>
    <w:rsid w:val="005C6387"/>
    <w:rsid w:val="005D02DB"/>
    <w:rsid w:val="005D0887"/>
    <w:rsid w:val="005D2C42"/>
    <w:rsid w:val="005D3CB5"/>
    <w:rsid w:val="005F1C0D"/>
    <w:rsid w:val="005F2F1D"/>
    <w:rsid w:val="005F5100"/>
    <w:rsid w:val="005F7DEA"/>
    <w:rsid w:val="00600816"/>
    <w:rsid w:val="00606554"/>
    <w:rsid w:val="0061466F"/>
    <w:rsid w:val="0061625D"/>
    <w:rsid w:val="006200D2"/>
    <w:rsid w:val="0062098D"/>
    <w:rsid w:val="0063103F"/>
    <w:rsid w:val="006508F6"/>
    <w:rsid w:val="00653B5B"/>
    <w:rsid w:val="00656DA9"/>
    <w:rsid w:val="006614A8"/>
    <w:rsid w:val="006617FB"/>
    <w:rsid w:val="00663CA3"/>
    <w:rsid w:val="00665D4F"/>
    <w:rsid w:val="006667D7"/>
    <w:rsid w:val="00671C54"/>
    <w:rsid w:val="0067721A"/>
    <w:rsid w:val="00683317"/>
    <w:rsid w:val="00684245"/>
    <w:rsid w:val="006954A5"/>
    <w:rsid w:val="0069568F"/>
    <w:rsid w:val="00696C28"/>
    <w:rsid w:val="006A0518"/>
    <w:rsid w:val="006A1F1A"/>
    <w:rsid w:val="006B2C00"/>
    <w:rsid w:val="006B4DB4"/>
    <w:rsid w:val="006C2466"/>
    <w:rsid w:val="006D28C6"/>
    <w:rsid w:val="006D3E58"/>
    <w:rsid w:val="006D5503"/>
    <w:rsid w:val="006D5839"/>
    <w:rsid w:val="006D6844"/>
    <w:rsid w:val="006E0EF8"/>
    <w:rsid w:val="006F0D76"/>
    <w:rsid w:val="006F6133"/>
    <w:rsid w:val="00700CBB"/>
    <w:rsid w:val="00700E01"/>
    <w:rsid w:val="007028D9"/>
    <w:rsid w:val="0071207B"/>
    <w:rsid w:val="00731E3B"/>
    <w:rsid w:val="00732C37"/>
    <w:rsid w:val="007352ED"/>
    <w:rsid w:val="0074775C"/>
    <w:rsid w:val="007528A4"/>
    <w:rsid w:val="00763A3E"/>
    <w:rsid w:val="00765332"/>
    <w:rsid w:val="00774BE0"/>
    <w:rsid w:val="00775E15"/>
    <w:rsid w:val="00791070"/>
    <w:rsid w:val="007915C9"/>
    <w:rsid w:val="00792772"/>
    <w:rsid w:val="007928DF"/>
    <w:rsid w:val="007A181F"/>
    <w:rsid w:val="007A55AF"/>
    <w:rsid w:val="007B073C"/>
    <w:rsid w:val="007B4A05"/>
    <w:rsid w:val="007B5F1A"/>
    <w:rsid w:val="007B7BE0"/>
    <w:rsid w:val="007C0343"/>
    <w:rsid w:val="007C1837"/>
    <w:rsid w:val="007C72A1"/>
    <w:rsid w:val="007D352A"/>
    <w:rsid w:val="007D65F5"/>
    <w:rsid w:val="007D6DC6"/>
    <w:rsid w:val="007E0A03"/>
    <w:rsid w:val="007E29C2"/>
    <w:rsid w:val="007E5CB7"/>
    <w:rsid w:val="007E6DE2"/>
    <w:rsid w:val="00820545"/>
    <w:rsid w:val="00821F4E"/>
    <w:rsid w:val="00822F5D"/>
    <w:rsid w:val="008249E5"/>
    <w:rsid w:val="00825E2D"/>
    <w:rsid w:val="00830DC7"/>
    <w:rsid w:val="00832AC2"/>
    <w:rsid w:val="0083358B"/>
    <w:rsid w:val="008353A5"/>
    <w:rsid w:val="0087282F"/>
    <w:rsid w:val="0087433C"/>
    <w:rsid w:val="0087764E"/>
    <w:rsid w:val="008910C4"/>
    <w:rsid w:val="00891E35"/>
    <w:rsid w:val="008931E9"/>
    <w:rsid w:val="008A0E22"/>
    <w:rsid w:val="008A3ED3"/>
    <w:rsid w:val="008A71E3"/>
    <w:rsid w:val="008C1969"/>
    <w:rsid w:val="008C42FD"/>
    <w:rsid w:val="008D4AEE"/>
    <w:rsid w:val="008D5F60"/>
    <w:rsid w:val="008E05CF"/>
    <w:rsid w:val="008E5EE3"/>
    <w:rsid w:val="008E74C2"/>
    <w:rsid w:val="009040F8"/>
    <w:rsid w:val="00907E17"/>
    <w:rsid w:val="00915E2A"/>
    <w:rsid w:val="0091661B"/>
    <w:rsid w:val="00923D76"/>
    <w:rsid w:val="00933E93"/>
    <w:rsid w:val="0094007E"/>
    <w:rsid w:val="00946D25"/>
    <w:rsid w:val="009507A7"/>
    <w:rsid w:val="0096084D"/>
    <w:rsid w:val="009667E5"/>
    <w:rsid w:val="009806A2"/>
    <w:rsid w:val="00993F51"/>
    <w:rsid w:val="009B038E"/>
    <w:rsid w:val="009C6F3E"/>
    <w:rsid w:val="009E35FE"/>
    <w:rsid w:val="009E423E"/>
    <w:rsid w:val="009E5F11"/>
    <w:rsid w:val="009E6719"/>
    <w:rsid w:val="009E74EE"/>
    <w:rsid w:val="009F12D0"/>
    <w:rsid w:val="009F37E4"/>
    <w:rsid w:val="009F3852"/>
    <w:rsid w:val="009F6D4C"/>
    <w:rsid w:val="00A019BD"/>
    <w:rsid w:val="00A12D8A"/>
    <w:rsid w:val="00A2055C"/>
    <w:rsid w:val="00A22364"/>
    <w:rsid w:val="00A2285F"/>
    <w:rsid w:val="00A26FFE"/>
    <w:rsid w:val="00A35742"/>
    <w:rsid w:val="00A46D3A"/>
    <w:rsid w:val="00A47867"/>
    <w:rsid w:val="00A50F1A"/>
    <w:rsid w:val="00A510B2"/>
    <w:rsid w:val="00A54466"/>
    <w:rsid w:val="00A56E64"/>
    <w:rsid w:val="00A604E1"/>
    <w:rsid w:val="00A60614"/>
    <w:rsid w:val="00A63E0D"/>
    <w:rsid w:val="00A714C6"/>
    <w:rsid w:val="00A72587"/>
    <w:rsid w:val="00A73F98"/>
    <w:rsid w:val="00A762ED"/>
    <w:rsid w:val="00A803C1"/>
    <w:rsid w:val="00A824BC"/>
    <w:rsid w:val="00A926F9"/>
    <w:rsid w:val="00A9489A"/>
    <w:rsid w:val="00A976C1"/>
    <w:rsid w:val="00AA0B8F"/>
    <w:rsid w:val="00AA25FA"/>
    <w:rsid w:val="00AA4ECB"/>
    <w:rsid w:val="00AA6DAD"/>
    <w:rsid w:val="00AA6EAE"/>
    <w:rsid w:val="00AB34F7"/>
    <w:rsid w:val="00AB6622"/>
    <w:rsid w:val="00AC4059"/>
    <w:rsid w:val="00AC468B"/>
    <w:rsid w:val="00AD2E24"/>
    <w:rsid w:val="00AD59ED"/>
    <w:rsid w:val="00AD755A"/>
    <w:rsid w:val="00AE072E"/>
    <w:rsid w:val="00AE6F7B"/>
    <w:rsid w:val="00AF4FFF"/>
    <w:rsid w:val="00AF5E60"/>
    <w:rsid w:val="00AF63C7"/>
    <w:rsid w:val="00B02B82"/>
    <w:rsid w:val="00B060E5"/>
    <w:rsid w:val="00B10BDE"/>
    <w:rsid w:val="00B12D94"/>
    <w:rsid w:val="00B25734"/>
    <w:rsid w:val="00B26088"/>
    <w:rsid w:val="00B35E77"/>
    <w:rsid w:val="00B36B59"/>
    <w:rsid w:val="00B36FE2"/>
    <w:rsid w:val="00B37236"/>
    <w:rsid w:val="00B41EE7"/>
    <w:rsid w:val="00B43B98"/>
    <w:rsid w:val="00B47883"/>
    <w:rsid w:val="00B5417F"/>
    <w:rsid w:val="00B66B4F"/>
    <w:rsid w:val="00B72F83"/>
    <w:rsid w:val="00B825A6"/>
    <w:rsid w:val="00B851CE"/>
    <w:rsid w:val="00B86D18"/>
    <w:rsid w:val="00BA59F8"/>
    <w:rsid w:val="00BB3A17"/>
    <w:rsid w:val="00BB44DB"/>
    <w:rsid w:val="00BC1CBA"/>
    <w:rsid w:val="00BD44E8"/>
    <w:rsid w:val="00BE6520"/>
    <w:rsid w:val="00BF23CD"/>
    <w:rsid w:val="00BF789A"/>
    <w:rsid w:val="00C0257C"/>
    <w:rsid w:val="00C05201"/>
    <w:rsid w:val="00C13A1F"/>
    <w:rsid w:val="00C1749A"/>
    <w:rsid w:val="00C36CA6"/>
    <w:rsid w:val="00C43C14"/>
    <w:rsid w:val="00C50275"/>
    <w:rsid w:val="00C52B27"/>
    <w:rsid w:val="00C56019"/>
    <w:rsid w:val="00C62B49"/>
    <w:rsid w:val="00C63A75"/>
    <w:rsid w:val="00C7048E"/>
    <w:rsid w:val="00C81B66"/>
    <w:rsid w:val="00C82094"/>
    <w:rsid w:val="00C8769B"/>
    <w:rsid w:val="00C977A2"/>
    <w:rsid w:val="00CA2F5C"/>
    <w:rsid w:val="00CA3762"/>
    <w:rsid w:val="00CA6F73"/>
    <w:rsid w:val="00CA7142"/>
    <w:rsid w:val="00CA7FD3"/>
    <w:rsid w:val="00CB2245"/>
    <w:rsid w:val="00CD30AD"/>
    <w:rsid w:val="00CD68C7"/>
    <w:rsid w:val="00CD73AA"/>
    <w:rsid w:val="00CE0E70"/>
    <w:rsid w:val="00CE12AB"/>
    <w:rsid w:val="00CE16BA"/>
    <w:rsid w:val="00CE2DC8"/>
    <w:rsid w:val="00CE491E"/>
    <w:rsid w:val="00CF0725"/>
    <w:rsid w:val="00CF0D0F"/>
    <w:rsid w:val="00CF13CE"/>
    <w:rsid w:val="00D03375"/>
    <w:rsid w:val="00D17251"/>
    <w:rsid w:val="00D179A5"/>
    <w:rsid w:val="00D237E4"/>
    <w:rsid w:val="00D249A0"/>
    <w:rsid w:val="00D2710D"/>
    <w:rsid w:val="00D32670"/>
    <w:rsid w:val="00D32D0C"/>
    <w:rsid w:val="00D375AA"/>
    <w:rsid w:val="00D40F04"/>
    <w:rsid w:val="00D45C5A"/>
    <w:rsid w:val="00D4727F"/>
    <w:rsid w:val="00D50A9B"/>
    <w:rsid w:val="00D51CAE"/>
    <w:rsid w:val="00D5550E"/>
    <w:rsid w:val="00D56B94"/>
    <w:rsid w:val="00D56F17"/>
    <w:rsid w:val="00D6644A"/>
    <w:rsid w:val="00D715E2"/>
    <w:rsid w:val="00D74D10"/>
    <w:rsid w:val="00D80BB6"/>
    <w:rsid w:val="00DA02E3"/>
    <w:rsid w:val="00DA121D"/>
    <w:rsid w:val="00DA5578"/>
    <w:rsid w:val="00DB06E0"/>
    <w:rsid w:val="00DB0ED0"/>
    <w:rsid w:val="00DB2FAC"/>
    <w:rsid w:val="00DB5565"/>
    <w:rsid w:val="00DB6CED"/>
    <w:rsid w:val="00DB7905"/>
    <w:rsid w:val="00DD37EC"/>
    <w:rsid w:val="00DD596A"/>
    <w:rsid w:val="00DE2270"/>
    <w:rsid w:val="00DE2301"/>
    <w:rsid w:val="00DE67E9"/>
    <w:rsid w:val="00DF2EA5"/>
    <w:rsid w:val="00DF4A24"/>
    <w:rsid w:val="00DF6D09"/>
    <w:rsid w:val="00DF7B9E"/>
    <w:rsid w:val="00E16368"/>
    <w:rsid w:val="00E16A41"/>
    <w:rsid w:val="00E23D55"/>
    <w:rsid w:val="00E3458D"/>
    <w:rsid w:val="00E3483D"/>
    <w:rsid w:val="00E36CD1"/>
    <w:rsid w:val="00E51A76"/>
    <w:rsid w:val="00E55F22"/>
    <w:rsid w:val="00E61013"/>
    <w:rsid w:val="00E63956"/>
    <w:rsid w:val="00E73D38"/>
    <w:rsid w:val="00E75E99"/>
    <w:rsid w:val="00E849EE"/>
    <w:rsid w:val="00E920B6"/>
    <w:rsid w:val="00EA04BF"/>
    <w:rsid w:val="00EA4D9C"/>
    <w:rsid w:val="00EA5B30"/>
    <w:rsid w:val="00EA7B6D"/>
    <w:rsid w:val="00EB2CBF"/>
    <w:rsid w:val="00EB4E0B"/>
    <w:rsid w:val="00EC2BF4"/>
    <w:rsid w:val="00EC6812"/>
    <w:rsid w:val="00EC794C"/>
    <w:rsid w:val="00EC7FD8"/>
    <w:rsid w:val="00ED1795"/>
    <w:rsid w:val="00EF795D"/>
    <w:rsid w:val="00F110D4"/>
    <w:rsid w:val="00F11F7B"/>
    <w:rsid w:val="00F21C2E"/>
    <w:rsid w:val="00F238B1"/>
    <w:rsid w:val="00F34771"/>
    <w:rsid w:val="00F52C4A"/>
    <w:rsid w:val="00F62041"/>
    <w:rsid w:val="00F728E3"/>
    <w:rsid w:val="00F760B2"/>
    <w:rsid w:val="00F814CB"/>
    <w:rsid w:val="00F842EA"/>
    <w:rsid w:val="00F978E2"/>
    <w:rsid w:val="00FA21B3"/>
    <w:rsid w:val="00FA611D"/>
    <w:rsid w:val="00FB3A17"/>
    <w:rsid w:val="00FB559D"/>
    <w:rsid w:val="00FD3249"/>
    <w:rsid w:val="00FE0E42"/>
    <w:rsid w:val="00FE5DA3"/>
    <w:rsid w:val="00FE6C28"/>
    <w:rsid w:val="00FE763D"/>
    <w:rsid w:val="00FF71A9"/>
    <w:rsid w:val="00FF7C3E"/>
    <w:rsid w:val="310D4CA6"/>
    <w:rsid w:val="6772B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F2C24"/>
  <w15:chartTrackingRefBased/>
  <w15:docId w15:val="{9F999879-4C9C-4396-900A-F48C6C196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7FB"/>
  </w:style>
  <w:style w:type="paragraph" w:styleId="Heading1">
    <w:name w:val="heading 1"/>
    <w:basedOn w:val="Normal"/>
    <w:next w:val="Normal"/>
    <w:link w:val="Heading1Char"/>
    <w:qFormat/>
    <w:rsid w:val="00301E3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301E38"/>
    <w:pPr>
      <w:keepNext/>
      <w:spacing w:after="0" w:line="240" w:lineRule="auto"/>
      <w:jc w:val="both"/>
      <w:outlineLvl w:val="1"/>
    </w:pPr>
    <w:rPr>
      <w:rFonts w:ascii="Arial" w:eastAsia="Times New Roman" w:hAnsi="Arial" w:cs="Arial"/>
      <w:b/>
      <w:sz w:val="24"/>
      <w:szCs w:val="20"/>
    </w:rPr>
  </w:style>
  <w:style w:type="paragraph" w:styleId="Heading3">
    <w:name w:val="heading 3"/>
    <w:basedOn w:val="Normal"/>
    <w:next w:val="Normal"/>
    <w:link w:val="Heading3Char"/>
    <w:uiPriority w:val="9"/>
    <w:semiHidden/>
    <w:unhideWhenUsed/>
    <w:qFormat/>
    <w:rsid w:val="00BF23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10BD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10BD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10BD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10BD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3637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0BD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02DB"/>
    <w:rPr>
      <w:color w:val="0563C1" w:themeColor="hyperlink"/>
      <w:u w:val="single"/>
    </w:rPr>
  </w:style>
  <w:style w:type="paragraph" w:styleId="Header">
    <w:name w:val="header"/>
    <w:basedOn w:val="Normal"/>
    <w:link w:val="HeaderChar"/>
    <w:uiPriority w:val="99"/>
    <w:unhideWhenUsed/>
    <w:rsid w:val="006F61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133"/>
  </w:style>
  <w:style w:type="paragraph" w:styleId="Footer">
    <w:name w:val="footer"/>
    <w:basedOn w:val="Normal"/>
    <w:link w:val="FooterChar"/>
    <w:uiPriority w:val="99"/>
    <w:unhideWhenUsed/>
    <w:rsid w:val="006F61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133"/>
  </w:style>
  <w:style w:type="character" w:customStyle="1" w:styleId="Heading1Char">
    <w:name w:val="Heading 1 Char"/>
    <w:basedOn w:val="DefaultParagraphFont"/>
    <w:link w:val="Heading1"/>
    <w:rsid w:val="00301E38"/>
    <w:rPr>
      <w:rFonts w:ascii="Arial" w:eastAsia="Times New Roman" w:hAnsi="Arial" w:cs="Arial"/>
      <w:b/>
      <w:bCs/>
      <w:kern w:val="32"/>
      <w:sz w:val="32"/>
      <w:szCs w:val="32"/>
    </w:rPr>
  </w:style>
  <w:style w:type="character" w:customStyle="1" w:styleId="Heading2Char">
    <w:name w:val="Heading 2 Char"/>
    <w:basedOn w:val="DefaultParagraphFont"/>
    <w:link w:val="Heading2"/>
    <w:rsid w:val="00301E38"/>
    <w:rPr>
      <w:rFonts w:ascii="Arial" w:eastAsia="Times New Roman" w:hAnsi="Arial" w:cs="Arial"/>
      <w:b/>
      <w:sz w:val="24"/>
      <w:szCs w:val="20"/>
    </w:rPr>
  </w:style>
  <w:style w:type="paragraph" w:styleId="List2">
    <w:name w:val="List 2"/>
    <w:basedOn w:val="Normal"/>
    <w:rsid w:val="00301E38"/>
    <w:pPr>
      <w:spacing w:after="0" w:line="240" w:lineRule="auto"/>
      <w:ind w:left="566" w:hanging="283"/>
    </w:pPr>
    <w:rPr>
      <w:rFonts w:ascii="Arial" w:eastAsia="Times New Roman" w:hAnsi="Arial" w:cs="Arial"/>
      <w:sz w:val="24"/>
      <w:szCs w:val="24"/>
    </w:rPr>
  </w:style>
  <w:style w:type="paragraph" w:styleId="Date">
    <w:name w:val="Date"/>
    <w:basedOn w:val="Normal"/>
    <w:next w:val="Normal"/>
    <w:link w:val="DateChar"/>
    <w:rsid w:val="00301E38"/>
    <w:pPr>
      <w:spacing w:after="0" w:line="240" w:lineRule="auto"/>
    </w:pPr>
    <w:rPr>
      <w:rFonts w:ascii="Arial" w:eastAsia="Times New Roman" w:hAnsi="Arial" w:cs="Arial"/>
      <w:sz w:val="24"/>
      <w:szCs w:val="24"/>
    </w:rPr>
  </w:style>
  <w:style w:type="character" w:customStyle="1" w:styleId="DateChar">
    <w:name w:val="Date Char"/>
    <w:basedOn w:val="DefaultParagraphFont"/>
    <w:link w:val="Date"/>
    <w:rsid w:val="00301E38"/>
    <w:rPr>
      <w:rFonts w:ascii="Arial" w:eastAsia="Times New Roman" w:hAnsi="Arial" w:cs="Arial"/>
      <w:sz w:val="24"/>
      <w:szCs w:val="24"/>
    </w:rPr>
  </w:style>
  <w:style w:type="paragraph" w:styleId="ListBullet3">
    <w:name w:val="List Bullet 3"/>
    <w:basedOn w:val="Normal"/>
    <w:autoRedefine/>
    <w:rsid w:val="00301E38"/>
    <w:pPr>
      <w:numPr>
        <w:numId w:val="1"/>
      </w:numPr>
      <w:spacing w:after="0" w:line="240" w:lineRule="auto"/>
    </w:pPr>
    <w:rPr>
      <w:rFonts w:ascii="Arial" w:eastAsia="Times New Roman" w:hAnsi="Arial" w:cs="Arial"/>
      <w:sz w:val="24"/>
      <w:szCs w:val="24"/>
    </w:rPr>
  </w:style>
  <w:style w:type="paragraph" w:styleId="ListContinue2">
    <w:name w:val="List Continue 2"/>
    <w:basedOn w:val="Normal"/>
    <w:rsid w:val="00301E38"/>
    <w:pPr>
      <w:spacing w:after="120" w:line="240" w:lineRule="auto"/>
      <w:ind w:left="566"/>
    </w:pPr>
    <w:rPr>
      <w:rFonts w:ascii="Arial" w:eastAsia="Times New Roman" w:hAnsi="Arial" w:cs="Arial"/>
      <w:sz w:val="24"/>
      <w:szCs w:val="24"/>
    </w:rPr>
  </w:style>
  <w:style w:type="paragraph" w:customStyle="1" w:styleId="DefaultText">
    <w:name w:val="Default Text"/>
    <w:basedOn w:val="Normal"/>
    <w:rsid w:val="00301E38"/>
    <w:pPr>
      <w:widowControl w:val="0"/>
      <w:spacing w:after="0" w:line="240" w:lineRule="auto"/>
    </w:pPr>
    <w:rPr>
      <w:rFonts w:ascii="Garamond" w:eastAsia="Times New Roman" w:hAnsi="Garamond" w:cs="Arial"/>
      <w:sz w:val="26"/>
      <w:szCs w:val="20"/>
      <w:lang w:val="en-US"/>
    </w:rPr>
  </w:style>
  <w:style w:type="paragraph" w:styleId="BodyTextIndent">
    <w:name w:val="Body Text Indent"/>
    <w:basedOn w:val="Normal"/>
    <w:link w:val="BodyTextIndentChar"/>
    <w:rsid w:val="00301E38"/>
    <w:pPr>
      <w:tabs>
        <w:tab w:val="left" w:pos="-1440"/>
        <w:tab w:val="left" w:pos="-720"/>
        <w:tab w:val="left" w:pos="0"/>
        <w:tab w:val="left" w:pos="1080"/>
        <w:tab w:val="left" w:pos="1440"/>
      </w:tabs>
      <w:suppressAutoHyphens/>
      <w:spacing w:after="120" w:line="240" w:lineRule="auto"/>
      <w:ind w:left="1080" w:hanging="1080"/>
      <w:jc w:val="both"/>
    </w:pPr>
    <w:rPr>
      <w:rFonts w:ascii="Arial" w:eastAsia="Times New Roman" w:hAnsi="Arial" w:cs="Arial"/>
      <w:spacing w:val="-3"/>
      <w:sz w:val="24"/>
      <w:szCs w:val="24"/>
    </w:rPr>
  </w:style>
  <w:style w:type="character" w:customStyle="1" w:styleId="BodyTextIndentChar">
    <w:name w:val="Body Text Indent Char"/>
    <w:basedOn w:val="DefaultParagraphFont"/>
    <w:link w:val="BodyTextIndent"/>
    <w:rsid w:val="00301E38"/>
    <w:rPr>
      <w:rFonts w:ascii="Arial" w:eastAsia="Times New Roman" w:hAnsi="Arial" w:cs="Arial"/>
      <w:spacing w:val="-3"/>
      <w:sz w:val="24"/>
      <w:szCs w:val="24"/>
    </w:rPr>
  </w:style>
  <w:style w:type="paragraph" w:styleId="BodyTextIndent2">
    <w:name w:val="Body Text Indent 2"/>
    <w:basedOn w:val="Normal"/>
    <w:link w:val="BodyTextIndent2Char"/>
    <w:rsid w:val="00301E38"/>
    <w:pPr>
      <w:tabs>
        <w:tab w:val="left" w:pos="-1440"/>
        <w:tab w:val="left" w:pos="-720"/>
        <w:tab w:val="left" w:pos="0"/>
        <w:tab w:val="left" w:pos="1080"/>
        <w:tab w:val="left" w:pos="1440"/>
      </w:tabs>
      <w:suppressAutoHyphens/>
      <w:spacing w:after="120" w:line="240" w:lineRule="auto"/>
      <w:ind w:left="2160" w:hanging="2160"/>
      <w:jc w:val="both"/>
    </w:pPr>
    <w:rPr>
      <w:rFonts w:ascii="Arial" w:eastAsia="Times New Roman" w:hAnsi="Arial" w:cs="Arial"/>
      <w:spacing w:val="-3"/>
      <w:sz w:val="24"/>
      <w:szCs w:val="24"/>
    </w:rPr>
  </w:style>
  <w:style w:type="character" w:customStyle="1" w:styleId="BodyTextIndent2Char">
    <w:name w:val="Body Text Indent 2 Char"/>
    <w:basedOn w:val="DefaultParagraphFont"/>
    <w:link w:val="BodyTextIndent2"/>
    <w:rsid w:val="00301E38"/>
    <w:rPr>
      <w:rFonts w:ascii="Arial" w:eastAsia="Times New Roman" w:hAnsi="Arial" w:cs="Arial"/>
      <w:spacing w:val="-3"/>
      <w:sz w:val="24"/>
      <w:szCs w:val="24"/>
    </w:rPr>
  </w:style>
  <w:style w:type="paragraph" w:styleId="BodyText">
    <w:name w:val="Body Text"/>
    <w:basedOn w:val="Normal"/>
    <w:link w:val="BodyTextChar"/>
    <w:rsid w:val="00301E38"/>
    <w:pPr>
      <w:tabs>
        <w:tab w:val="left" w:pos="-1440"/>
        <w:tab w:val="left" w:pos="-720"/>
        <w:tab w:val="left" w:pos="1080"/>
        <w:tab w:val="left" w:pos="1440"/>
      </w:tabs>
      <w:suppressAutoHyphens/>
      <w:spacing w:after="120" w:line="240" w:lineRule="auto"/>
      <w:jc w:val="both"/>
    </w:pPr>
    <w:rPr>
      <w:rFonts w:ascii="Arial" w:eastAsia="Times New Roman" w:hAnsi="Arial" w:cs="Arial"/>
      <w:spacing w:val="-3"/>
      <w:sz w:val="24"/>
      <w:szCs w:val="24"/>
    </w:rPr>
  </w:style>
  <w:style w:type="character" w:customStyle="1" w:styleId="BodyTextChar">
    <w:name w:val="Body Text Char"/>
    <w:basedOn w:val="DefaultParagraphFont"/>
    <w:link w:val="BodyText"/>
    <w:rsid w:val="00301E38"/>
    <w:rPr>
      <w:rFonts w:ascii="Arial" w:eastAsia="Times New Roman" w:hAnsi="Arial" w:cs="Arial"/>
      <w:spacing w:val="-3"/>
      <w:sz w:val="24"/>
      <w:szCs w:val="24"/>
    </w:rPr>
  </w:style>
  <w:style w:type="paragraph" w:styleId="BodyText2">
    <w:name w:val="Body Text 2"/>
    <w:basedOn w:val="Normal"/>
    <w:link w:val="BodyText2Char"/>
    <w:rsid w:val="00301E38"/>
    <w:pPr>
      <w:tabs>
        <w:tab w:val="left" w:pos="-1440"/>
        <w:tab w:val="left" w:pos="-720"/>
        <w:tab w:val="left" w:pos="0"/>
        <w:tab w:val="left" w:pos="1080"/>
        <w:tab w:val="left" w:pos="1440"/>
      </w:tabs>
      <w:suppressAutoHyphens/>
      <w:spacing w:after="0" w:line="240" w:lineRule="auto"/>
      <w:jc w:val="both"/>
    </w:pPr>
    <w:rPr>
      <w:rFonts w:ascii="Tahoma" w:eastAsia="Times New Roman" w:hAnsi="Tahoma" w:cs="Tahoma"/>
      <w:i/>
      <w:iCs/>
      <w:spacing w:val="-3"/>
      <w:sz w:val="24"/>
      <w:szCs w:val="24"/>
    </w:rPr>
  </w:style>
  <w:style w:type="character" w:customStyle="1" w:styleId="BodyText2Char">
    <w:name w:val="Body Text 2 Char"/>
    <w:basedOn w:val="DefaultParagraphFont"/>
    <w:link w:val="BodyText2"/>
    <w:rsid w:val="00301E38"/>
    <w:rPr>
      <w:rFonts w:ascii="Tahoma" w:eastAsia="Times New Roman" w:hAnsi="Tahoma" w:cs="Tahoma"/>
      <w:i/>
      <w:iCs/>
      <w:spacing w:val="-3"/>
      <w:sz w:val="24"/>
      <w:szCs w:val="24"/>
    </w:rPr>
  </w:style>
  <w:style w:type="table" w:styleId="TableGrid">
    <w:name w:val="Table Grid"/>
    <w:basedOn w:val="TableNormal"/>
    <w:rsid w:val="00301E3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E3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01E38"/>
    <w:rPr>
      <w:rFonts w:ascii="Tahoma" w:eastAsia="Times New Roman" w:hAnsi="Tahoma" w:cs="Tahoma"/>
      <w:sz w:val="16"/>
      <w:szCs w:val="16"/>
    </w:rPr>
  </w:style>
  <w:style w:type="character" w:styleId="CommentReference">
    <w:name w:val="annotation reference"/>
    <w:semiHidden/>
    <w:rsid w:val="00301E38"/>
    <w:rPr>
      <w:sz w:val="16"/>
      <w:szCs w:val="16"/>
    </w:rPr>
  </w:style>
  <w:style w:type="paragraph" w:styleId="CommentText">
    <w:name w:val="annotation text"/>
    <w:basedOn w:val="Normal"/>
    <w:link w:val="CommentTextChar"/>
    <w:semiHidden/>
    <w:rsid w:val="00301E38"/>
    <w:pPr>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semiHidden/>
    <w:rsid w:val="00301E38"/>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301E38"/>
    <w:rPr>
      <w:b/>
      <w:bCs/>
    </w:rPr>
  </w:style>
  <w:style w:type="character" w:customStyle="1" w:styleId="CommentSubjectChar">
    <w:name w:val="Comment Subject Char"/>
    <w:basedOn w:val="CommentTextChar"/>
    <w:link w:val="CommentSubject"/>
    <w:semiHidden/>
    <w:rsid w:val="00301E38"/>
    <w:rPr>
      <w:rFonts w:ascii="Arial" w:eastAsia="Times New Roman" w:hAnsi="Arial" w:cs="Arial"/>
      <w:b/>
      <w:bCs/>
      <w:sz w:val="20"/>
      <w:szCs w:val="20"/>
    </w:rPr>
  </w:style>
  <w:style w:type="paragraph" w:styleId="EndnoteText">
    <w:name w:val="endnote text"/>
    <w:basedOn w:val="Normal"/>
    <w:link w:val="EndnoteTextChar"/>
    <w:rsid w:val="00301E38"/>
    <w:pPr>
      <w:spacing w:after="0" w:line="240" w:lineRule="auto"/>
    </w:pPr>
    <w:rPr>
      <w:rFonts w:ascii="Arial" w:eastAsia="Times New Roman" w:hAnsi="Arial" w:cs="Arial"/>
      <w:sz w:val="20"/>
      <w:szCs w:val="20"/>
    </w:rPr>
  </w:style>
  <w:style w:type="character" w:customStyle="1" w:styleId="EndnoteTextChar">
    <w:name w:val="Endnote Text Char"/>
    <w:basedOn w:val="DefaultParagraphFont"/>
    <w:link w:val="EndnoteText"/>
    <w:rsid w:val="00301E38"/>
    <w:rPr>
      <w:rFonts w:ascii="Arial" w:eastAsia="Times New Roman" w:hAnsi="Arial" w:cs="Arial"/>
      <w:sz w:val="20"/>
      <w:szCs w:val="20"/>
    </w:rPr>
  </w:style>
  <w:style w:type="character" w:styleId="EndnoteReference">
    <w:name w:val="endnote reference"/>
    <w:rsid w:val="00301E38"/>
    <w:rPr>
      <w:vertAlign w:val="superscript"/>
    </w:rPr>
  </w:style>
  <w:style w:type="paragraph" w:styleId="FootnoteText">
    <w:name w:val="footnote text"/>
    <w:basedOn w:val="Normal"/>
    <w:link w:val="FootnoteTextChar"/>
    <w:uiPriority w:val="99"/>
    <w:rsid w:val="00301E38"/>
    <w:pPr>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rsid w:val="00301E38"/>
    <w:rPr>
      <w:rFonts w:ascii="Arial" w:eastAsia="Times New Roman" w:hAnsi="Arial" w:cs="Arial"/>
      <w:sz w:val="20"/>
      <w:szCs w:val="20"/>
    </w:rPr>
  </w:style>
  <w:style w:type="character" w:styleId="FootnoteReference">
    <w:name w:val="footnote reference"/>
    <w:uiPriority w:val="99"/>
    <w:rsid w:val="00301E38"/>
    <w:rPr>
      <w:vertAlign w:val="superscript"/>
    </w:rPr>
  </w:style>
  <w:style w:type="paragraph" w:styleId="ListParagraph">
    <w:name w:val="List Paragraph"/>
    <w:basedOn w:val="Normal"/>
    <w:link w:val="ListParagraphChar"/>
    <w:uiPriority w:val="34"/>
    <w:qFormat/>
    <w:rsid w:val="00301E38"/>
    <w:pPr>
      <w:spacing w:after="0" w:line="240" w:lineRule="auto"/>
      <w:ind w:left="720"/>
      <w:contextualSpacing/>
    </w:pPr>
    <w:rPr>
      <w:rFonts w:ascii="Arial" w:eastAsia="Times New Roman" w:hAnsi="Arial" w:cs="Arial"/>
      <w:sz w:val="24"/>
      <w:szCs w:val="24"/>
    </w:rPr>
  </w:style>
  <w:style w:type="paragraph" w:styleId="TOCHeading">
    <w:name w:val="TOC Heading"/>
    <w:basedOn w:val="Heading1"/>
    <w:next w:val="Normal"/>
    <w:uiPriority w:val="39"/>
    <w:unhideWhenUsed/>
    <w:qFormat/>
    <w:rsid w:val="00301E38"/>
    <w:pPr>
      <w:keepLines/>
      <w:spacing w:before="480" w:after="0" w:line="276" w:lineRule="auto"/>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rsid w:val="00301E38"/>
    <w:pPr>
      <w:spacing w:after="100" w:line="240" w:lineRule="auto"/>
      <w:ind w:left="240"/>
    </w:pPr>
    <w:rPr>
      <w:rFonts w:ascii="Arial" w:eastAsia="Times New Roman" w:hAnsi="Arial" w:cs="Arial"/>
      <w:sz w:val="24"/>
      <w:szCs w:val="24"/>
    </w:rPr>
  </w:style>
  <w:style w:type="paragraph" w:customStyle="1" w:styleId="Heading1111">
    <w:name w:val="Heading 1111"/>
    <w:basedOn w:val="ListParagraph"/>
    <w:link w:val="Heading1111Char"/>
    <w:qFormat/>
    <w:rsid w:val="00301E38"/>
    <w:pPr>
      <w:numPr>
        <w:numId w:val="2"/>
      </w:numPr>
      <w:tabs>
        <w:tab w:val="left" w:pos="-1440"/>
        <w:tab w:val="left" w:pos="-720"/>
        <w:tab w:val="left" w:pos="0"/>
        <w:tab w:val="left" w:pos="1080"/>
        <w:tab w:val="left" w:pos="1440"/>
      </w:tabs>
      <w:suppressAutoHyphens/>
      <w:spacing w:before="60" w:after="60" w:line="276" w:lineRule="auto"/>
      <w:jc w:val="both"/>
    </w:pPr>
    <w:rPr>
      <w:b/>
      <w:spacing w:val="-3"/>
    </w:rPr>
  </w:style>
  <w:style w:type="character" w:customStyle="1" w:styleId="ListParagraphChar">
    <w:name w:val="List Paragraph Char"/>
    <w:link w:val="ListParagraph"/>
    <w:uiPriority w:val="34"/>
    <w:rsid w:val="00301E38"/>
    <w:rPr>
      <w:rFonts w:ascii="Arial" w:eastAsia="Times New Roman" w:hAnsi="Arial" w:cs="Arial"/>
      <w:sz w:val="24"/>
      <w:szCs w:val="24"/>
    </w:rPr>
  </w:style>
  <w:style w:type="character" w:customStyle="1" w:styleId="Heading1111Char">
    <w:name w:val="Heading 1111 Char"/>
    <w:link w:val="Heading1111"/>
    <w:rsid w:val="00301E38"/>
    <w:rPr>
      <w:rFonts w:ascii="Arial" w:eastAsia="Times New Roman" w:hAnsi="Arial" w:cs="Arial"/>
      <w:b/>
      <w:spacing w:val="-3"/>
      <w:sz w:val="24"/>
      <w:szCs w:val="24"/>
    </w:rPr>
  </w:style>
  <w:style w:type="paragraph" w:styleId="TOC1">
    <w:name w:val="toc 1"/>
    <w:basedOn w:val="Normal"/>
    <w:next w:val="Normal"/>
    <w:autoRedefine/>
    <w:uiPriority w:val="39"/>
    <w:rsid w:val="00301E38"/>
    <w:pPr>
      <w:tabs>
        <w:tab w:val="left" w:pos="567"/>
        <w:tab w:val="right" w:leader="dot" w:pos="9356"/>
      </w:tabs>
      <w:spacing w:beforeLines="60" w:before="144" w:afterLines="60" w:after="144" w:line="240" w:lineRule="auto"/>
      <w:jc w:val="both"/>
    </w:pPr>
    <w:rPr>
      <w:rFonts w:ascii="Arial" w:eastAsia="Times New Roman" w:hAnsi="Arial" w:cs="Arial"/>
      <w:sz w:val="24"/>
      <w:szCs w:val="24"/>
    </w:rPr>
  </w:style>
  <w:style w:type="character" w:customStyle="1" w:styleId="MainTextChar">
    <w:name w:val="Main Text Char"/>
    <w:basedOn w:val="DefaultParagraphFont"/>
    <w:link w:val="MainText"/>
    <w:locked/>
    <w:rsid w:val="00B35E77"/>
    <w:rPr>
      <w:rFonts w:ascii="Garamond" w:hAnsi="Garamond" w:cs="Arial"/>
      <w:color w:val="615C5D"/>
      <w:sz w:val="20"/>
    </w:rPr>
  </w:style>
  <w:style w:type="paragraph" w:customStyle="1" w:styleId="MainText">
    <w:name w:val="Main Text"/>
    <w:basedOn w:val="Normal"/>
    <w:link w:val="MainTextChar"/>
    <w:qFormat/>
    <w:rsid w:val="00B35E77"/>
    <w:pPr>
      <w:spacing w:after="0" w:line="240" w:lineRule="auto"/>
      <w:jc w:val="both"/>
    </w:pPr>
    <w:rPr>
      <w:rFonts w:ascii="Garamond" w:hAnsi="Garamond" w:cs="Arial"/>
      <w:color w:val="615C5D"/>
      <w:sz w:val="20"/>
    </w:rPr>
  </w:style>
  <w:style w:type="character" w:customStyle="1" w:styleId="ItemHeading2Char">
    <w:name w:val="Item Heading 2 Char"/>
    <w:basedOn w:val="DefaultParagraphFont"/>
    <w:link w:val="ItemHeading2"/>
    <w:locked/>
    <w:rsid w:val="00B35E77"/>
    <w:rPr>
      <w:rFonts w:ascii="Arial" w:hAnsi="Arial" w:cs="Arial"/>
      <w:b/>
      <w:color w:val="253143"/>
      <w:sz w:val="24"/>
    </w:rPr>
  </w:style>
  <w:style w:type="paragraph" w:customStyle="1" w:styleId="ItemHeading2">
    <w:name w:val="Item Heading 2"/>
    <w:basedOn w:val="Normal"/>
    <w:link w:val="ItemHeading2Char"/>
    <w:qFormat/>
    <w:rsid w:val="00B35E77"/>
    <w:pPr>
      <w:spacing w:after="0" w:line="240" w:lineRule="auto"/>
    </w:pPr>
    <w:rPr>
      <w:rFonts w:ascii="Arial" w:hAnsi="Arial" w:cs="Arial"/>
      <w:b/>
      <w:color w:val="253143"/>
      <w:sz w:val="24"/>
    </w:rPr>
  </w:style>
  <w:style w:type="character" w:customStyle="1" w:styleId="ItemHeadingChar">
    <w:name w:val="Item Heading Char"/>
    <w:basedOn w:val="DefaultParagraphFont"/>
    <w:link w:val="ItemHeading"/>
    <w:locked/>
    <w:rsid w:val="001474C8"/>
    <w:rPr>
      <w:rFonts w:ascii="Arial" w:hAnsi="Arial" w:cs="Arial"/>
      <w:b/>
      <w:color w:val="E40038"/>
      <w:sz w:val="24"/>
    </w:rPr>
  </w:style>
  <w:style w:type="paragraph" w:customStyle="1" w:styleId="ItemHeading">
    <w:name w:val="Item Heading"/>
    <w:basedOn w:val="Normal"/>
    <w:link w:val="ItemHeadingChar"/>
    <w:qFormat/>
    <w:rsid w:val="001474C8"/>
    <w:pPr>
      <w:spacing w:line="240" w:lineRule="auto"/>
    </w:pPr>
    <w:rPr>
      <w:rFonts w:ascii="Arial" w:hAnsi="Arial" w:cs="Arial"/>
      <w:b/>
      <w:color w:val="E40038"/>
      <w:sz w:val="24"/>
    </w:rPr>
  </w:style>
  <w:style w:type="character" w:customStyle="1" w:styleId="Heading8Char">
    <w:name w:val="Heading 8 Char"/>
    <w:basedOn w:val="DefaultParagraphFont"/>
    <w:link w:val="Heading8"/>
    <w:uiPriority w:val="9"/>
    <w:semiHidden/>
    <w:rsid w:val="0023637F"/>
    <w:rPr>
      <w:rFonts w:asciiTheme="majorHAnsi" w:eastAsiaTheme="majorEastAsia" w:hAnsiTheme="majorHAnsi" w:cstheme="majorBidi"/>
      <w:color w:val="272727" w:themeColor="text1" w:themeTint="D8"/>
      <w:sz w:val="21"/>
      <w:szCs w:val="21"/>
    </w:rPr>
  </w:style>
  <w:style w:type="paragraph" w:customStyle="1" w:styleId="Default">
    <w:name w:val="Default"/>
    <w:rsid w:val="0023637F"/>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7E5CB7"/>
    <w:pPr>
      <w:spacing w:after="0" w:line="240" w:lineRule="auto"/>
    </w:pPr>
    <w:rPr>
      <w:rFonts w:ascii="Times New Roman" w:eastAsia="Times New Roman" w:hAnsi="Times New Roman" w:cs="Times New Roman"/>
      <w:color w:val="808080"/>
      <w:sz w:val="18"/>
      <w:szCs w:val="20"/>
    </w:rPr>
  </w:style>
  <w:style w:type="character" w:customStyle="1" w:styleId="EmailStyle25">
    <w:name w:val="EmailStyle25"/>
    <w:semiHidden/>
    <w:rsid w:val="007E5CB7"/>
    <w:rPr>
      <w:rFonts w:ascii="Arial" w:hAnsi="Arial" w:cs="Arial" w:hint="default"/>
      <w:color w:val="000000"/>
      <w:sz w:val="20"/>
    </w:rPr>
  </w:style>
  <w:style w:type="table" w:customStyle="1" w:styleId="TableGrid1">
    <w:name w:val="Table Grid1"/>
    <w:basedOn w:val="TableNormal"/>
    <w:next w:val="TableGrid"/>
    <w:uiPriority w:val="39"/>
    <w:rsid w:val="00D80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ureHeading1">
    <w:name w:val="Annexure Heading 1"/>
    <w:basedOn w:val="Normal"/>
    <w:next w:val="AnnexureHeading2"/>
    <w:qFormat/>
    <w:rsid w:val="00534519"/>
    <w:pPr>
      <w:numPr>
        <w:numId w:val="4"/>
      </w:numPr>
      <w:spacing w:after="200" w:line="240" w:lineRule="auto"/>
    </w:pPr>
    <w:rPr>
      <w:rFonts w:ascii="Century Gothic" w:eastAsia="Times New Roman" w:hAnsi="Century Gothic" w:cs="Arial Black"/>
      <w:color w:val="000000"/>
      <w:sz w:val="18"/>
      <w:szCs w:val="18"/>
      <w:lang w:eastAsia="en-GB"/>
    </w:rPr>
  </w:style>
  <w:style w:type="paragraph" w:customStyle="1" w:styleId="AnnexureHeading2">
    <w:name w:val="Annexure Heading 2"/>
    <w:basedOn w:val="Normal"/>
    <w:qFormat/>
    <w:rsid w:val="00534519"/>
    <w:pPr>
      <w:numPr>
        <w:ilvl w:val="1"/>
        <w:numId w:val="4"/>
      </w:numPr>
      <w:spacing w:after="120" w:line="276" w:lineRule="auto"/>
    </w:pPr>
    <w:rPr>
      <w:rFonts w:ascii="Century Gothic" w:eastAsia="Times New Roman" w:hAnsi="Century Gothic" w:cs="Times New Roman"/>
      <w:sz w:val="20"/>
      <w:lang w:eastAsia="en-GB"/>
    </w:rPr>
  </w:style>
  <w:style w:type="paragraph" w:customStyle="1" w:styleId="AnnexureHeading3">
    <w:name w:val="Annexure Heading 3"/>
    <w:basedOn w:val="Normal"/>
    <w:qFormat/>
    <w:rsid w:val="00534519"/>
    <w:pPr>
      <w:numPr>
        <w:ilvl w:val="2"/>
        <w:numId w:val="4"/>
      </w:numPr>
      <w:spacing w:after="120" w:line="276" w:lineRule="auto"/>
    </w:pPr>
    <w:rPr>
      <w:rFonts w:ascii="Century Gothic" w:eastAsia="Times New Roman" w:hAnsi="Century Gothic" w:cs="Times New Roman"/>
      <w:sz w:val="20"/>
      <w:lang w:eastAsia="en-GB"/>
    </w:rPr>
  </w:style>
  <w:style w:type="paragraph" w:customStyle="1" w:styleId="AnnexureHeading4">
    <w:name w:val="Annexure Heading 4"/>
    <w:basedOn w:val="Normal"/>
    <w:qFormat/>
    <w:rsid w:val="00534519"/>
    <w:pPr>
      <w:numPr>
        <w:ilvl w:val="3"/>
        <w:numId w:val="4"/>
      </w:numPr>
      <w:spacing w:after="120" w:line="276" w:lineRule="auto"/>
    </w:pPr>
    <w:rPr>
      <w:rFonts w:ascii="Century Gothic" w:eastAsia="Times New Roman" w:hAnsi="Century Gothic" w:cs="Times New Roman"/>
      <w:sz w:val="20"/>
      <w:lang w:eastAsia="en-GB"/>
    </w:rPr>
  </w:style>
  <w:style w:type="paragraph" w:customStyle="1" w:styleId="ScheduleHeading1">
    <w:name w:val="Schedule Heading 1"/>
    <w:basedOn w:val="Normal"/>
    <w:next w:val="ScheduleHeading2"/>
    <w:qFormat/>
    <w:rsid w:val="00534519"/>
    <w:pPr>
      <w:numPr>
        <w:numId w:val="3"/>
      </w:numPr>
      <w:spacing w:after="120" w:line="200" w:lineRule="exact"/>
      <w:ind w:left="726" w:hanging="726"/>
    </w:pPr>
    <w:rPr>
      <w:rFonts w:ascii="Century Gothic" w:eastAsia="Times New Roman" w:hAnsi="Century Gothic" w:cs="Times New Roman"/>
      <w:b/>
      <w:color w:val="000000" w:themeColor="text1"/>
      <w:sz w:val="18"/>
      <w:szCs w:val="18"/>
      <w:lang w:eastAsia="en-GB"/>
    </w:rPr>
  </w:style>
  <w:style w:type="paragraph" w:customStyle="1" w:styleId="ScheduleHeading2">
    <w:name w:val="Schedule Heading 2"/>
    <w:basedOn w:val="Normal"/>
    <w:qFormat/>
    <w:rsid w:val="00534519"/>
    <w:pPr>
      <w:numPr>
        <w:ilvl w:val="1"/>
        <w:numId w:val="3"/>
      </w:numPr>
      <w:spacing w:after="120" w:line="240" w:lineRule="exact"/>
      <w:ind w:left="1440" w:hanging="720"/>
    </w:pPr>
    <w:rPr>
      <w:rFonts w:ascii="Century Gothic" w:eastAsia="Times New Roman" w:hAnsi="Century Gothic" w:cs="Times New Roman"/>
      <w:color w:val="000000" w:themeColor="text1"/>
      <w:sz w:val="18"/>
      <w:szCs w:val="18"/>
      <w:lang w:eastAsia="en-GB"/>
    </w:rPr>
  </w:style>
  <w:style w:type="paragraph" w:customStyle="1" w:styleId="ScheduleHeading3">
    <w:name w:val="Schedule Heading 3"/>
    <w:basedOn w:val="Normal"/>
    <w:qFormat/>
    <w:rsid w:val="00534519"/>
    <w:pPr>
      <w:numPr>
        <w:ilvl w:val="2"/>
        <w:numId w:val="3"/>
      </w:numPr>
      <w:spacing w:after="120" w:line="240" w:lineRule="auto"/>
      <w:ind w:left="2160" w:hanging="720"/>
    </w:pPr>
    <w:rPr>
      <w:rFonts w:ascii="Century Gothic" w:eastAsia="Times New Roman" w:hAnsi="Century Gothic" w:cs="Times New Roman"/>
      <w:sz w:val="18"/>
      <w:szCs w:val="18"/>
      <w:lang w:eastAsia="en-GB"/>
    </w:rPr>
  </w:style>
  <w:style w:type="paragraph" w:customStyle="1" w:styleId="ScheduleHeading4">
    <w:name w:val="Schedule Heading 4"/>
    <w:basedOn w:val="Normal"/>
    <w:qFormat/>
    <w:rsid w:val="00534519"/>
    <w:pPr>
      <w:numPr>
        <w:ilvl w:val="3"/>
        <w:numId w:val="3"/>
      </w:numPr>
      <w:spacing w:after="120" w:line="276" w:lineRule="auto"/>
    </w:pPr>
    <w:rPr>
      <w:rFonts w:ascii="Century Gothic" w:eastAsia="Times New Roman" w:hAnsi="Century Gothic" w:cs="Times New Roman"/>
      <w:sz w:val="20"/>
      <w:lang w:eastAsia="en-GB"/>
    </w:rPr>
  </w:style>
  <w:style w:type="paragraph" w:customStyle="1" w:styleId="AnnexureHeading5">
    <w:name w:val="Annexure Heading 5"/>
    <w:basedOn w:val="Normal"/>
    <w:qFormat/>
    <w:rsid w:val="00534519"/>
    <w:pPr>
      <w:numPr>
        <w:ilvl w:val="4"/>
        <w:numId w:val="4"/>
      </w:numPr>
      <w:spacing w:after="120" w:line="276" w:lineRule="auto"/>
    </w:pPr>
    <w:rPr>
      <w:rFonts w:ascii="Century Gothic" w:eastAsia="Times New Roman" w:hAnsi="Century Gothic" w:cs="Times New Roman"/>
      <w:sz w:val="20"/>
      <w:lang w:eastAsia="en-GB"/>
    </w:rPr>
  </w:style>
  <w:style w:type="paragraph" w:customStyle="1" w:styleId="ScheduleHeading5">
    <w:name w:val="Schedule Heading 5"/>
    <w:basedOn w:val="Normal"/>
    <w:qFormat/>
    <w:rsid w:val="00534519"/>
    <w:pPr>
      <w:numPr>
        <w:ilvl w:val="4"/>
        <w:numId w:val="3"/>
      </w:numPr>
      <w:spacing w:after="120" w:line="276" w:lineRule="auto"/>
    </w:pPr>
    <w:rPr>
      <w:rFonts w:ascii="Century Gothic" w:eastAsia="Times New Roman" w:hAnsi="Century Gothic" w:cs="Times New Roman"/>
      <w:sz w:val="20"/>
      <w:lang w:eastAsia="en-GB"/>
    </w:rPr>
  </w:style>
  <w:style w:type="character" w:customStyle="1" w:styleId="Bodytext20">
    <w:name w:val="Body text (2)"/>
    <w:basedOn w:val="DefaultParagraphFont"/>
    <w:rsid w:val="00534519"/>
    <w:rPr>
      <w:rFonts w:ascii="Arial" w:eastAsia="Arial" w:hAnsi="Arial" w:cs="Arial"/>
      <w:b w:val="0"/>
      <w:bCs w:val="0"/>
      <w:i w:val="0"/>
      <w:iCs w:val="0"/>
      <w:smallCaps w:val="0"/>
      <w:strike w:val="0"/>
      <w:color w:val="222626"/>
      <w:spacing w:val="0"/>
      <w:w w:val="100"/>
      <w:position w:val="0"/>
      <w:sz w:val="20"/>
      <w:szCs w:val="20"/>
      <w:u w:val="none"/>
      <w:lang w:val="en-GB" w:eastAsia="en-GB" w:bidi="en-GB"/>
    </w:rPr>
  </w:style>
  <w:style w:type="paragraph" w:customStyle="1" w:styleId="Heading">
    <w:name w:val="Heading"/>
    <w:basedOn w:val="Normal"/>
    <w:link w:val="HeadingChar"/>
    <w:qFormat/>
    <w:rsid w:val="00F842EA"/>
    <w:pPr>
      <w:spacing w:after="0" w:line="240" w:lineRule="auto"/>
    </w:pPr>
    <w:rPr>
      <w:rFonts w:ascii="Arial" w:hAnsi="Arial" w:cs="Arial"/>
      <w:b/>
      <w:sz w:val="56"/>
      <w:szCs w:val="34"/>
    </w:rPr>
  </w:style>
  <w:style w:type="character" w:customStyle="1" w:styleId="HeadingChar">
    <w:name w:val="Heading Char"/>
    <w:basedOn w:val="DefaultParagraphFont"/>
    <w:link w:val="Heading"/>
    <w:rsid w:val="00F842EA"/>
    <w:rPr>
      <w:rFonts w:ascii="Arial" w:hAnsi="Arial" w:cs="Arial"/>
      <w:b/>
      <w:sz w:val="56"/>
      <w:szCs w:val="34"/>
    </w:rPr>
  </w:style>
  <w:style w:type="paragraph" w:customStyle="1" w:styleId="BodyBoldRed">
    <w:name w:val="Body Bold Red"/>
    <w:basedOn w:val="Default"/>
    <w:link w:val="BodyBoldRedChar"/>
    <w:qFormat/>
    <w:rsid w:val="00F842EA"/>
    <w:pPr>
      <w:numPr>
        <w:numId w:val="6"/>
      </w:numPr>
      <w:spacing w:after="120"/>
      <w:ind w:left="357" w:hanging="357"/>
      <w:jc w:val="both"/>
    </w:pPr>
    <w:rPr>
      <w:b/>
      <w:bCs/>
      <w:color w:val="000000" w:themeColor="text1"/>
      <w:sz w:val="20"/>
      <w:szCs w:val="18"/>
    </w:rPr>
  </w:style>
  <w:style w:type="paragraph" w:customStyle="1" w:styleId="GaramondBody">
    <w:name w:val="Garamond Body"/>
    <w:basedOn w:val="Default"/>
    <w:link w:val="GaramondBodyChar"/>
    <w:qFormat/>
    <w:rsid w:val="00F842EA"/>
    <w:pPr>
      <w:jc w:val="both"/>
    </w:pPr>
    <w:rPr>
      <w:rFonts w:ascii="Garamond" w:hAnsi="Garamond"/>
      <w:color w:val="auto"/>
      <w:sz w:val="20"/>
      <w:szCs w:val="18"/>
    </w:rPr>
  </w:style>
  <w:style w:type="character" w:customStyle="1" w:styleId="BodyBoldRedChar">
    <w:name w:val="Body Bold Red Char"/>
    <w:basedOn w:val="DefaultParagraphFont"/>
    <w:link w:val="BodyBoldRed"/>
    <w:rsid w:val="00F842EA"/>
    <w:rPr>
      <w:rFonts w:ascii="Arial" w:eastAsia="Times New Roman" w:hAnsi="Arial" w:cs="Arial"/>
      <w:b/>
      <w:bCs/>
      <w:color w:val="000000" w:themeColor="text1"/>
      <w:sz w:val="20"/>
      <w:szCs w:val="18"/>
      <w:lang w:eastAsia="en-GB"/>
    </w:rPr>
  </w:style>
  <w:style w:type="character" w:customStyle="1" w:styleId="GaramondBodyChar">
    <w:name w:val="Garamond Body Char"/>
    <w:basedOn w:val="DefaultParagraphFont"/>
    <w:link w:val="GaramondBody"/>
    <w:rsid w:val="00F842EA"/>
    <w:rPr>
      <w:rFonts w:ascii="Garamond" w:eastAsia="Times New Roman" w:hAnsi="Garamond" w:cs="Arial"/>
      <w:sz w:val="20"/>
      <w:szCs w:val="18"/>
      <w:lang w:eastAsia="en-GB"/>
    </w:rPr>
  </w:style>
  <w:style w:type="paragraph" w:customStyle="1" w:styleId="GaramondNumbers">
    <w:name w:val="Garamond Numbers"/>
    <w:basedOn w:val="GaramondBody"/>
    <w:link w:val="GaramondNumbersChar"/>
    <w:qFormat/>
    <w:rsid w:val="00F842EA"/>
    <w:pPr>
      <w:numPr>
        <w:ilvl w:val="1"/>
        <w:numId w:val="5"/>
      </w:numPr>
    </w:pPr>
  </w:style>
  <w:style w:type="character" w:customStyle="1" w:styleId="GaramondNumbersChar">
    <w:name w:val="Garamond Numbers Char"/>
    <w:basedOn w:val="GaramondBodyChar"/>
    <w:link w:val="GaramondNumbers"/>
    <w:rsid w:val="00F842EA"/>
    <w:rPr>
      <w:rFonts w:ascii="Garamond" w:eastAsia="Times New Roman" w:hAnsi="Garamond" w:cs="Arial"/>
      <w:sz w:val="20"/>
      <w:szCs w:val="18"/>
      <w:lang w:eastAsia="en-GB"/>
    </w:rPr>
  </w:style>
  <w:style w:type="table" w:customStyle="1" w:styleId="TableGrid2">
    <w:name w:val="Table Grid2"/>
    <w:basedOn w:val="TableNormal"/>
    <w:next w:val="TableGrid"/>
    <w:uiPriority w:val="39"/>
    <w:rsid w:val="00EC7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A4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F23C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10BD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10BD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10BD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10BDE"/>
    <w:rPr>
      <w:rFonts w:asciiTheme="majorHAnsi" w:eastAsiaTheme="majorEastAsia" w:hAnsiTheme="majorHAnsi" w:cstheme="majorBidi"/>
      <w:i/>
      <w:iCs/>
      <w:color w:val="1F4D78" w:themeColor="accent1" w:themeShade="7F"/>
    </w:rPr>
  </w:style>
  <w:style w:type="character" w:customStyle="1" w:styleId="Heading9Char">
    <w:name w:val="Heading 9 Char"/>
    <w:basedOn w:val="DefaultParagraphFont"/>
    <w:link w:val="Heading9"/>
    <w:uiPriority w:val="9"/>
    <w:semiHidden/>
    <w:rsid w:val="00B10BDE"/>
    <w:rPr>
      <w:rFonts w:asciiTheme="majorHAnsi" w:eastAsiaTheme="majorEastAsia" w:hAnsiTheme="majorHAnsi" w:cstheme="majorBidi"/>
      <w:i/>
      <w:iCs/>
      <w:color w:val="272727" w:themeColor="text1" w:themeTint="D8"/>
      <w:sz w:val="21"/>
      <w:szCs w:val="21"/>
    </w:rPr>
  </w:style>
  <w:style w:type="paragraph" w:styleId="BodyTextIndent3">
    <w:name w:val="Body Text Indent 3"/>
    <w:basedOn w:val="Normal"/>
    <w:link w:val="BodyTextIndent3Char"/>
    <w:uiPriority w:val="99"/>
    <w:semiHidden/>
    <w:unhideWhenUsed/>
    <w:rsid w:val="00B10BD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10BDE"/>
    <w:rPr>
      <w:sz w:val="16"/>
      <w:szCs w:val="16"/>
    </w:rPr>
  </w:style>
  <w:style w:type="character" w:styleId="Strong">
    <w:name w:val="Strong"/>
    <w:basedOn w:val="DefaultParagraphFont"/>
    <w:qFormat/>
    <w:rsid w:val="00B10BDE"/>
    <w:rPr>
      <w:b/>
    </w:rPr>
  </w:style>
  <w:style w:type="character" w:styleId="PlaceholderText">
    <w:name w:val="Placeholder Text"/>
    <w:basedOn w:val="DefaultParagraphFont"/>
    <w:uiPriority w:val="99"/>
    <w:semiHidden/>
    <w:rsid w:val="000263C5"/>
    <w:rPr>
      <w:color w:val="808080"/>
    </w:rPr>
  </w:style>
  <w:style w:type="character" w:styleId="UnresolvedMention">
    <w:name w:val="Unresolved Mention"/>
    <w:basedOn w:val="DefaultParagraphFont"/>
    <w:uiPriority w:val="99"/>
    <w:semiHidden/>
    <w:unhideWhenUsed/>
    <w:rsid w:val="00B25734"/>
    <w:rPr>
      <w:color w:val="605E5C"/>
      <w:shd w:val="clear" w:color="auto" w:fill="E1DFDD"/>
    </w:rPr>
  </w:style>
  <w:style w:type="paragraph" w:customStyle="1" w:styleId="paragraph">
    <w:name w:val="paragraph"/>
    <w:basedOn w:val="Normal"/>
    <w:rsid w:val="006617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617FB"/>
  </w:style>
  <w:style w:type="character" w:customStyle="1" w:styleId="eop">
    <w:name w:val="eop"/>
    <w:basedOn w:val="DefaultParagraphFont"/>
    <w:rsid w:val="006617FB"/>
  </w:style>
  <w:style w:type="character" w:styleId="FollowedHyperlink">
    <w:name w:val="FollowedHyperlink"/>
    <w:basedOn w:val="DefaultParagraphFont"/>
    <w:uiPriority w:val="99"/>
    <w:semiHidden/>
    <w:unhideWhenUsed/>
    <w:rsid w:val="004E62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9376">
      <w:bodyDiv w:val="1"/>
      <w:marLeft w:val="0"/>
      <w:marRight w:val="0"/>
      <w:marTop w:val="0"/>
      <w:marBottom w:val="0"/>
      <w:divBdr>
        <w:top w:val="none" w:sz="0" w:space="0" w:color="auto"/>
        <w:left w:val="none" w:sz="0" w:space="0" w:color="auto"/>
        <w:bottom w:val="none" w:sz="0" w:space="0" w:color="auto"/>
        <w:right w:val="none" w:sz="0" w:space="0" w:color="auto"/>
      </w:divBdr>
    </w:div>
    <w:div w:id="187375610">
      <w:bodyDiv w:val="1"/>
      <w:marLeft w:val="0"/>
      <w:marRight w:val="0"/>
      <w:marTop w:val="0"/>
      <w:marBottom w:val="0"/>
      <w:divBdr>
        <w:top w:val="none" w:sz="0" w:space="0" w:color="auto"/>
        <w:left w:val="none" w:sz="0" w:space="0" w:color="auto"/>
        <w:bottom w:val="none" w:sz="0" w:space="0" w:color="auto"/>
        <w:right w:val="none" w:sz="0" w:space="0" w:color="auto"/>
      </w:divBdr>
      <w:divsChild>
        <w:div w:id="762805216">
          <w:marLeft w:val="0"/>
          <w:marRight w:val="0"/>
          <w:marTop w:val="0"/>
          <w:marBottom w:val="0"/>
          <w:divBdr>
            <w:top w:val="none" w:sz="0" w:space="0" w:color="auto"/>
            <w:left w:val="none" w:sz="0" w:space="0" w:color="auto"/>
            <w:bottom w:val="none" w:sz="0" w:space="0" w:color="auto"/>
            <w:right w:val="none" w:sz="0" w:space="0" w:color="auto"/>
          </w:divBdr>
        </w:div>
        <w:div w:id="1994020259">
          <w:marLeft w:val="0"/>
          <w:marRight w:val="0"/>
          <w:marTop w:val="0"/>
          <w:marBottom w:val="0"/>
          <w:divBdr>
            <w:top w:val="none" w:sz="0" w:space="0" w:color="auto"/>
            <w:left w:val="none" w:sz="0" w:space="0" w:color="auto"/>
            <w:bottom w:val="none" w:sz="0" w:space="0" w:color="auto"/>
            <w:right w:val="none" w:sz="0" w:space="0" w:color="auto"/>
          </w:divBdr>
        </w:div>
        <w:div w:id="1639410090">
          <w:marLeft w:val="0"/>
          <w:marRight w:val="0"/>
          <w:marTop w:val="0"/>
          <w:marBottom w:val="0"/>
          <w:divBdr>
            <w:top w:val="none" w:sz="0" w:space="0" w:color="auto"/>
            <w:left w:val="none" w:sz="0" w:space="0" w:color="auto"/>
            <w:bottom w:val="none" w:sz="0" w:space="0" w:color="auto"/>
            <w:right w:val="none" w:sz="0" w:space="0" w:color="auto"/>
          </w:divBdr>
        </w:div>
        <w:div w:id="1157191202">
          <w:marLeft w:val="0"/>
          <w:marRight w:val="0"/>
          <w:marTop w:val="0"/>
          <w:marBottom w:val="0"/>
          <w:divBdr>
            <w:top w:val="none" w:sz="0" w:space="0" w:color="auto"/>
            <w:left w:val="none" w:sz="0" w:space="0" w:color="auto"/>
            <w:bottom w:val="none" w:sz="0" w:space="0" w:color="auto"/>
            <w:right w:val="none" w:sz="0" w:space="0" w:color="auto"/>
          </w:divBdr>
        </w:div>
        <w:div w:id="235677021">
          <w:marLeft w:val="0"/>
          <w:marRight w:val="0"/>
          <w:marTop w:val="0"/>
          <w:marBottom w:val="0"/>
          <w:divBdr>
            <w:top w:val="none" w:sz="0" w:space="0" w:color="auto"/>
            <w:left w:val="none" w:sz="0" w:space="0" w:color="auto"/>
            <w:bottom w:val="none" w:sz="0" w:space="0" w:color="auto"/>
            <w:right w:val="none" w:sz="0" w:space="0" w:color="auto"/>
          </w:divBdr>
        </w:div>
        <w:div w:id="1089427618">
          <w:marLeft w:val="0"/>
          <w:marRight w:val="0"/>
          <w:marTop w:val="0"/>
          <w:marBottom w:val="0"/>
          <w:divBdr>
            <w:top w:val="none" w:sz="0" w:space="0" w:color="auto"/>
            <w:left w:val="none" w:sz="0" w:space="0" w:color="auto"/>
            <w:bottom w:val="none" w:sz="0" w:space="0" w:color="auto"/>
            <w:right w:val="none" w:sz="0" w:space="0" w:color="auto"/>
          </w:divBdr>
        </w:div>
        <w:div w:id="1655336368">
          <w:marLeft w:val="0"/>
          <w:marRight w:val="0"/>
          <w:marTop w:val="0"/>
          <w:marBottom w:val="0"/>
          <w:divBdr>
            <w:top w:val="none" w:sz="0" w:space="0" w:color="auto"/>
            <w:left w:val="none" w:sz="0" w:space="0" w:color="auto"/>
            <w:bottom w:val="none" w:sz="0" w:space="0" w:color="auto"/>
            <w:right w:val="none" w:sz="0" w:space="0" w:color="auto"/>
          </w:divBdr>
        </w:div>
        <w:div w:id="577524716">
          <w:marLeft w:val="0"/>
          <w:marRight w:val="0"/>
          <w:marTop w:val="0"/>
          <w:marBottom w:val="0"/>
          <w:divBdr>
            <w:top w:val="none" w:sz="0" w:space="0" w:color="auto"/>
            <w:left w:val="none" w:sz="0" w:space="0" w:color="auto"/>
            <w:bottom w:val="none" w:sz="0" w:space="0" w:color="auto"/>
            <w:right w:val="none" w:sz="0" w:space="0" w:color="auto"/>
          </w:divBdr>
        </w:div>
        <w:div w:id="319120722">
          <w:marLeft w:val="0"/>
          <w:marRight w:val="0"/>
          <w:marTop w:val="0"/>
          <w:marBottom w:val="0"/>
          <w:divBdr>
            <w:top w:val="none" w:sz="0" w:space="0" w:color="auto"/>
            <w:left w:val="none" w:sz="0" w:space="0" w:color="auto"/>
            <w:bottom w:val="none" w:sz="0" w:space="0" w:color="auto"/>
            <w:right w:val="none" w:sz="0" w:space="0" w:color="auto"/>
          </w:divBdr>
        </w:div>
        <w:div w:id="653068393">
          <w:marLeft w:val="0"/>
          <w:marRight w:val="0"/>
          <w:marTop w:val="0"/>
          <w:marBottom w:val="0"/>
          <w:divBdr>
            <w:top w:val="none" w:sz="0" w:space="0" w:color="auto"/>
            <w:left w:val="none" w:sz="0" w:space="0" w:color="auto"/>
            <w:bottom w:val="none" w:sz="0" w:space="0" w:color="auto"/>
            <w:right w:val="none" w:sz="0" w:space="0" w:color="auto"/>
          </w:divBdr>
        </w:div>
        <w:div w:id="470709806">
          <w:marLeft w:val="0"/>
          <w:marRight w:val="0"/>
          <w:marTop w:val="0"/>
          <w:marBottom w:val="0"/>
          <w:divBdr>
            <w:top w:val="none" w:sz="0" w:space="0" w:color="auto"/>
            <w:left w:val="none" w:sz="0" w:space="0" w:color="auto"/>
            <w:bottom w:val="none" w:sz="0" w:space="0" w:color="auto"/>
            <w:right w:val="none" w:sz="0" w:space="0" w:color="auto"/>
          </w:divBdr>
        </w:div>
        <w:div w:id="1759671250">
          <w:marLeft w:val="0"/>
          <w:marRight w:val="0"/>
          <w:marTop w:val="0"/>
          <w:marBottom w:val="0"/>
          <w:divBdr>
            <w:top w:val="none" w:sz="0" w:space="0" w:color="auto"/>
            <w:left w:val="none" w:sz="0" w:space="0" w:color="auto"/>
            <w:bottom w:val="none" w:sz="0" w:space="0" w:color="auto"/>
            <w:right w:val="none" w:sz="0" w:space="0" w:color="auto"/>
          </w:divBdr>
        </w:div>
        <w:div w:id="1943144797">
          <w:marLeft w:val="0"/>
          <w:marRight w:val="0"/>
          <w:marTop w:val="0"/>
          <w:marBottom w:val="0"/>
          <w:divBdr>
            <w:top w:val="none" w:sz="0" w:space="0" w:color="auto"/>
            <w:left w:val="none" w:sz="0" w:space="0" w:color="auto"/>
            <w:bottom w:val="none" w:sz="0" w:space="0" w:color="auto"/>
            <w:right w:val="none" w:sz="0" w:space="0" w:color="auto"/>
          </w:divBdr>
        </w:div>
        <w:div w:id="932783872">
          <w:marLeft w:val="0"/>
          <w:marRight w:val="0"/>
          <w:marTop w:val="0"/>
          <w:marBottom w:val="0"/>
          <w:divBdr>
            <w:top w:val="none" w:sz="0" w:space="0" w:color="auto"/>
            <w:left w:val="none" w:sz="0" w:space="0" w:color="auto"/>
            <w:bottom w:val="none" w:sz="0" w:space="0" w:color="auto"/>
            <w:right w:val="none" w:sz="0" w:space="0" w:color="auto"/>
          </w:divBdr>
        </w:div>
        <w:div w:id="2050839344">
          <w:marLeft w:val="0"/>
          <w:marRight w:val="0"/>
          <w:marTop w:val="0"/>
          <w:marBottom w:val="0"/>
          <w:divBdr>
            <w:top w:val="none" w:sz="0" w:space="0" w:color="auto"/>
            <w:left w:val="none" w:sz="0" w:space="0" w:color="auto"/>
            <w:bottom w:val="none" w:sz="0" w:space="0" w:color="auto"/>
            <w:right w:val="none" w:sz="0" w:space="0" w:color="auto"/>
          </w:divBdr>
        </w:div>
        <w:div w:id="2006396973">
          <w:marLeft w:val="0"/>
          <w:marRight w:val="0"/>
          <w:marTop w:val="0"/>
          <w:marBottom w:val="0"/>
          <w:divBdr>
            <w:top w:val="none" w:sz="0" w:space="0" w:color="auto"/>
            <w:left w:val="none" w:sz="0" w:space="0" w:color="auto"/>
            <w:bottom w:val="none" w:sz="0" w:space="0" w:color="auto"/>
            <w:right w:val="none" w:sz="0" w:space="0" w:color="auto"/>
          </w:divBdr>
        </w:div>
        <w:div w:id="1064835823">
          <w:marLeft w:val="0"/>
          <w:marRight w:val="0"/>
          <w:marTop w:val="0"/>
          <w:marBottom w:val="0"/>
          <w:divBdr>
            <w:top w:val="none" w:sz="0" w:space="0" w:color="auto"/>
            <w:left w:val="none" w:sz="0" w:space="0" w:color="auto"/>
            <w:bottom w:val="none" w:sz="0" w:space="0" w:color="auto"/>
            <w:right w:val="none" w:sz="0" w:space="0" w:color="auto"/>
          </w:divBdr>
        </w:div>
        <w:div w:id="1636182963">
          <w:marLeft w:val="0"/>
          <w:marRight w:val="0"/>
          <w:marTop w:val="0"/>
          <w:marBottom w:val="0"/>
          <w:divBdr>
            <w:top w:val="none" w:sz="0" w:space="0" w:color="auto"/>
            <w:left w:val="none" w:sz="0" w:space="0" w:color="auto"/>
            <w:bottom w:val="none" w:sz="0" w:space="0" w:color="auto"/>
            <w:right w:val="none" w:sz="0" w:space="0" w:color="auto"/>
          </w:divBdr>
        </w:div>
      </w:divsChild>
    </w:div>
    <w:div w:id="350961162">
      <w:bodyDiv w:val="1"/>
      <w:marLeft w:val="0"/>
      <w:marRight w:val="0"/>
      <w:marTop w:val="0"/>
      <w:marBottom w:val="0"/>
      <w:divBdr>
        <w:top w:val="none" w:sz="0" w:space="0" w:color="auto"/>
        <w:left w:val="none" w:sz="0" w:space="0" w:color="auto"/>
        <w:bottom w:val="none" w:sz="0" w:space="0" w:color="auto"/>
        <w:right w:val="none" w:sz="0" w:space="0" w:color="auto"/>
      </w:divBdr>
    </w:div>
    <w:div w:id="386733128">
      <w:bodyDiv w:val="1"/>
      <w:marLeft w:val="0"/>
      <w:marRight w:val="0"/>
      <w:marTop w:val="0"/>
      <w:marBottom w:val="0"/>
      <w:divBdr>
        <w:top w:val="none" w:sz="0" w:space="0" w:color="auto"/>
        <w:left w:val="none" w:sz="0" w:space="0" w:color="auto"/>
        <w:bottom w:val="none" w:sz="0" w:space="0" w:color="auto"/>
        <w:right w:val="none" w:sz="0" w:space="0" w:color="auto"/>
      </w:divBdr>
    </w:div>
    <w:div w:id="558831593">
      <w:bodyDiv w:val="1"/>
      <w:marLeft w:val="0"/>
      <w:marRight w:val="0"/>
      <w:marTop w:val="0"/>
      <w:marBottom w:val="0"/>
      <w:divBdr>
        <w:top w:val="none" w:sz="0" w:space="0" w:color="auto"/>
        <w:left w:val="none" w:sz="0" w:space="0" w:color="auto"/>
        <w:bottom w:val="none" w:sz="0" w:space="0" w:color="auto"/>
        <w:right w:val="none" w:sz="0" w:space="0" w:color="auto"/>
      </w:divBdr>
    </w:div>
    <w:div w:id="597373857">
      <w:bodyDiv w:val="1"/>
      <w:marLeft w:val="0"/>
      <w:marRight w:val="0"/>
      <w:marTop w:val="0"/>
      <w:marBottom w:val="0"/>
      <w:divBdr>
        <w:top w:val="none" w:sz="0" w:space="0" w:color="auto"/>
        <w:left w:val="none" w:sz="0" w:space="0" w:color="auto"/>
        <w:bottom w:val="none" w:sz="0" w:space="0" w:color="auto"/>
        <w:right w:val="none" w:sz="0" w:space="0" w:color="auto"/>
      </w:divBdr>
    </w:div>
    <w:div w:id="637419565">
      <w:bodyDiv w:val="1"/>
      <w:marLeft w:val="0"/>
      <w:marRight w:val="0"/>
      <w:marTop w:val="0"/>
      <w:marBottom w:val="0"/>
      <w:divBdr>
        <w:top w:val="none" w:sz="0" w:space="0" w:color="auto"/>
        <w:left w:val="none" w:sz="0" w:space="0" w:color="auto"/>
        <w:bottom w:val="none" w:sz="0" w:space="0" w:color="auto"/>
        <w:right w:val="none" w:sz="0" w:space="0" w:color="auto"/>
      </w:divBdr>
    </w:div>
    <w:div w:id="689187440">
      <w:bodyDiv w:val="1"/>
      <w:marLeft w:val="0"/>
      <w:marRight w:val="0"/>
      <w:marTop w:val="0"/>
      <w:marBottom w:val="0"/>
      <w:divBdr>
        <w:top w:val="none" w:sz="0" w:space="0" w:color="auto"/>
        <w:left w:val="none" w:sz="0" w:space="0" w:color="auto"/>
        <w:bottom w:val="none" w:sz="0" w:space="0" w:color="auto"/>
        <w:right w:val="none" w:sz="0" w:space="0" w:color="auto"/>
      </w:divBdr>
    </w:div>
    <w:div w:id="1025910495">
      <w:bodyDiv w:val="1"/>
      <w:marLeft w:val="0"/>
      <w:marRight w:val="0"/>
      <w:marTop w:val="0"/>
      <w:marBottom w:val="0"/>
      <w:divBdr>
        <w:top w:val="none" w:sz="0" w:space="0" w:color="auto"/>
        <w:left w:val="none" w:sz="0" w:space="0" w:color="auto"/>
        <w:bottom w:val="none" w:sz="0" w:space="0" w:color="auto"/>
        <w:right w:val="none" w:sz="0" w:space="0" w:color="auto"/>
      </w:divBdr>
    </w:div>
    <w:div w:id="1384597519">
      <w:bodyDiv w:val="1"/>
      <w:marLeft w:val="0"/>
      <w:marRight w:val="0"/>
      <w:marTop w:val="0"/>
      <w:marBottom w:val="0"/>
      <w:divBdr>
        <w:top w:val="none" w:sz="0" w:space="0" w:color="auto"/>
        <w:left w:val="none" w:sz="0" w:space="0" w:color="auto"/>
        <w:bottom w:val="none" w:sz="0" w:space="0" w:color="auto"/>
        <w:right w:val="none" w:sz="0" w:space="0" w:color="auto"/>
      </w:divBdr>
    </w:div>
    <w:div w:id="1411122540">
      <w:bodyDiv w:val="1"/>
      <w:marLeft w:val="0"/>
      <w:marRight w:val="0"/>
      <w:marTop w:val="0"/>
      <w:marBottom w:val="0"/>
      <w:divBdr>
        <w:top w:val="none" w:sz="0" w:space="0" w:color="auto"/>
        <w:left w:val="none" w:sz="0" w:space="0" w:color="auto"/>
        <w:bottom w:val="none" w:sz="0" w:space="0" w:color="auto"/>
        <w:right w:val="none" w:sz="0" w:space="0" w:color="auto"/>
      </w:divBdr>
    </w:div>
    <w:div w:id="1479345469">
      <w:bodyDiv w:val="1"/>
      <w:marLeft w:val="0"/>
      <w:marRight w:val="0"/>
      <w:marTop w:val="0"/>
      <w:marBottom w:val="0"/>
      <w:divBdr>
        <w:top w:val="none" w:sz="0" w:space="0" w:color="auto"/>
        <w:left w:val="none" w:sz="0" w:space="0" w:color="auto"/>
        <w:bottom w:val="none" w:sz="0" w:space="0" w:color="auto"/>
        <w:right w:val="none" w:sz="0" w:space="0" w:color="auto"/>
      </w:divBdr>
    </w:div>
    <w:div w:id="1579168451">
      <w:bodyDiv w:val="1"/>
      <w:marLeft w:val="0"/>
      <w:marRight w:val="0"/>
      <w:marTop w:val="0"/>
      <w:marBottom w:val="0"/>
      <w:divBdr>
        <w:top w:val="none" w:sz="0" w:space="0" w:color="auto"/>
        <w:left w:val="none" w:sz="0" w:space="0" w:color="auto"/>
        <w:bottom w:val="none" w:sz="0" w:space="0" w:color="auto"/>
        <w:right w:val="none" w:sz="0" w:space="0" w:color="auto"/>
      </w:divBdr>
    </w:div>
    <w:div w:id="1579708545">
      <w:bodyDiv w:val="1"/>
      <w:marLeft w:val="0"/>
      <w:marRight w:val="0"/>
      <w:marTop w:val="0"/>
      <w:marBottom w:val="0"/>
      <w:divBdr>
        <w:top w:val="none" w:sz="0" w:space="0" w:color="auto"/>
        <w:left w:val="none" w:sz="0" w:space="0" w:color="auto"/>
        <w:bottom w:val="none" w:sz="0" w:space="0" w:color="auto"/>
        <w:right w:val="none" w:sz="0" w:space="0" w:color="auto"/>
      </w:divBdr>
    </w:div>
    <w:div w:id="1633054376">
      <w:bodyDiv w:val="1"/>
      <w:marLeft w:val="0"/>
      <w:marRight w:val="0"/>
      <w:marTop w:val="0"/>
      <w:marBottom w:val="0"/>
      <w:divBdr>
        <w:top w:val="none" w:sz="0" w:space="0" w:color="auto"/>
        <w:left w:val="none" w:sz="0" w:space="0" w:color="auto"/>
        <w:bottom w:val="none" w:sz="0" w:space="0" w:color="auto"/>
        <w:right w:val="none" w:sz="0" w:space="0" w:color="auto"/>
      </w:divBdr>
    </w:div>
    <w:div w:id="1667513378">
      <w:bodyDiv w:val="1"/>
      <w:marLeft w:val="0"/>
      <w:marRight w:val="0"/>
      <w:marTop w:val="0"/>
      <w:marBottom w:val="0"/>
      <w:divBdr>
        <w:top w:val="none" w:sz="0" w:space="0" w:color="auto"/>
        <w:left w:val="none" w:sz="0" w:space="0" w:color="auto"/>
        <w:bottom w:val="none" w:sz="0" w:space="0" w:color="auto"/>
        <w:right w:val="none" w:sz="0" w:space="0" w:color="auto"/>
      </w:divBdr>
    </w:div>
    <w:div w:id="171974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ssets.publishing.service.gov.uk/government/uploads/system/uploads/attachment_data/file/678866/Guidance_on_local_government_investments.pdf"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678866/Guidance_on_local_government_investment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6E157-FCBD-4FEA-88BE-CE157CF51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Ellesmere Town Council</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Evans</dc:creator>
  <cp:keywords/>
  <dc:description/>
  <cp:lastModifiedBy>Assistant Clerk</cp:lastModifiedBy>
  <cp:revision>3</cp:revision>
  <cp:lastPrinted>2023-11-03T11:03:00Z</cp:lastPrinted>
  <dcterms:created xsi:type="dcterms:W3CDTF">2024-09-16T12:14:00Z</dcterms:created>
  <dcterms:modified xsi:type="dcterms:W3CDTF">2024-10-22T13:01:00Z</dcterms:modified>
</cp:coreProperties>
</file>