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7FBC" w14:textId="47B8A0A6" w:rsidR="00E16AD3" w:rsidRPr="00E16AD3" w:rsidRDefault="005C00DC" w:rsidP="00E16AD3">
      <w:r>
        <w:rPr>
          <w:noProof/>
        </w:rPr>
        <w:drawing>
          <wp:anchor distT="0" distB="0" distL="114300" distR="114300" simplePos="0" relativeHeight="251662336" behindDoc="0" locked="0" layoutInCell="1" allowOverlap="1" wp14:anchorId="75D8A42E" wp14:editId="673D380E">
            <wp:simplePos x="0" y="0"/>
            <wp:positionH relativeFrom="column">
              <wp:posOffset>276225</wp:posOffset>
            </wp:positionH>
            <wp:positionV relativeFrom="paragraph">
              <wp:posOffset>-203200</wp:posOffset>
            </wp:positionV>
            <wp:extent cx="843280" cy="723900"/>
            <wp:effectExtent l="0" t="0" r="0" b="0"/>
            <wp:wrapNone/>
            <wp:docPr id="418388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280" cy="723900"/>
                    </a:xfrm>
                    <a:prstGeom prst="rect">
                      <a:avLst/>
                    </a:prstGeom>
                    <a:noFill/>
                  </pic:spPr>
                </pic:pic>
              </a:graphicData>
            </a:graphic>
            <wp14:sizeRelH relativeFrom="margin">
              <wp14:pctWidth>0</wp14:pctWidth>
            </wp14:sizeRelH>
            <wp14:sizeRelV relativeFrom="margin">
              <wp14:pctHeight>0</wp14:pctHeight>
            </wp14:sizeRelV>
          </wp:anchor>
        </w:drawing>
      </w:r>
      <w:r w:rsidR="00E16AD3">
        <w:rPr>
          <w:noProof/>
        </w:rPr>
        <w:drawing>
          <wp:anchor distT="0" distB="0" distL="114300" distR="114300" simplePos="0" relativeHeight="251660288" behindDoc="1" locked="0" layoutInCell="1" allowOverlap="1" wp14:anchorId="65A7C352" wp14:editId="397FBD30">
            <wp:simplePos x="0" y="0"/>
            <wp:positionH relativeFrom="margin">
              <wp:posOffset>1257300</wp:posOffset>
            </wp:positionH>
            <wp:positionV relativeFrom="paragraph">
              <wp:posOffset>-476250</wp:posOffset>
            </wp:positionV>
            <wp:extent cx="1266825" cy="1266825"/>
            <wp:effectExtent l="0" t="0" r="9525" b="9525"/>
            <wp:wrapNone/>
            <wp:docPr id="497680412" name="Picture 3" descr="A logo with text and a pic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80412" name="Picture 3" descr="A logo with text and a picture of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r w:rsidR="00E16AD3">
        <w:rPr>
          <w:noProof/>
        </w:rPr>
        <w:drawing>
          <wp:anchor distT="0" distB="0" distL="114300" distR="114300" simplePos="0" relativeHeight="251658240" behindDoc="0" locked="0" layoutInCell="1" allowOverlap="1" wp14:anchorId="7552269B" wp14:editId="19FFB7BD">
            <wp:simplePos x="0" y="0"/>
            <wp:positionH relativeFrom="margin">
              <wp:posOffset>3302635</wp:posOffset>
            </wp:positionH>
            <wp:positionV relativeFrom="paragraph">
              <wp:posOffset>-123825</wp:posOffset>
            </wp:positionV>
            <wp:extent cx="2149475" cy="532765"/>
            <wp:effectExtent l="0" t="0" r="3175" b="635"/>
            <wp:wrapNone/>
            <wp:docPr id="373826939"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26939" name="Picture 1" descr="A blue and black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149475" cy="532765"/>
                    </a:xfrm>
                    <a:prstGeom prst="rect">
                      <a:avLst/>
                    </a:prstGeom>
                  </pic:spPr>
                </pic:pic>
              </a:graphicData>
            </a:graphic>
            <wp14:sizeRelH relativeFrom="margin">
              <wp14:pctWidth>0</wp14:pctWidth>
            </wp14:sizeRelH>
            <wp14:sizeRelV relativeFrom="margin">
              <wp14:pctHeight>0</wp14:pctHeight>
            </wp14:sizeRelV>
          </wp:anchor>
        </w:drawing>
      </w:r>
    </w:p>
    <w:p w14:paraId="337331C9" w14:textId="6DF4D2C1" w:rsidR="00E16AD3" w:rsidRDefault="00E16AD3" w:rsidP="00E16AD3">
      <w:pPr>
        <w:pStyle w:val="NormalWeb"/>
      </w:pPr>
      <w:r>
        <w:rPr>
          <w:noProof/>
        </w:rPr>
        <w:drawing>
          <wp:anchor distT="0" distB="0" distL="114300" distR="114300" simplePos="0" relativeHeight="251661312" behindDoc="1" locked="0" layoutInCell="1" allowOverlap="1" wp14:anchorId="17ECF468" wp14:editId="6ECC9512">
            <wp:simplePos x="0" y="0"/>
            <wp:positionH relativeFrom="margin">
              <wp:posOffset>3057525</wp:posOffset>
            </wp:positionH>
            <wp:positionV relativeFrom="paragraph">
              <wp:posOffset>349885</wp:posOffset>
            </wp:positionV>
            <wp:extent cx="2474595" cy="927735"/>
            <wp:effectExtent l="0" t="0" r="1905" b="5715"/>
            <wp:wrapNone/>
            <wp:docPr id="7" name="Picture 4" descr="A logo for a town and parish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logo for a town and parish club&#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4595" cy="927735"/>
                    </a:xfrm>
                    <a:prstGeom prst="rect">
                      <a:avLst/>
                    </a:prstGeom>
                    <a:noFill/>
                    <a:ln>
                      <a:noFill/>
                    </a:ln>
                  </pic:spPr>
                </pic:pic>
              </a:graphicData>
            </a:graphic>
          </wp:anchor>
        </w:drawing>
      </w:r>
      <w:r w:rsidRPr="00E16AD3">
        <w:rPr>
          <w:noProof/>
        </w:rPr>
        <w:drawing>
          <wp:anchor distT="0" distB="0" distL="114300" distR="114300" simplePos="0" relativeHeight="251659264" behindDoc="0" locked="0" layoutInCell="1" allowOverlap="1" wp14:anchorId="4E9FBC52" wp14:editId="26AFE517">
            <wp:simplePos x="0" y="0"/>
            <wp:positionH relativeFrom="column">
              <wp:posOffset>323215</wp:posOffset>
            </wp:positionH>
            <wp:positionV relativeFrom="paragraph">
              <wp:posOffset>395605</wp:posOffset>
            </wp:positionV>
            <wp:extent cx="1895475" cy="763580"/>
            <wp:effectExtent l="0" t="0" r="0" b="0"/>
            <wp:wrapNone/>
            <wp:docPr id="62723182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31820" name="Picture 2" descr="A blue and white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763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C9C82" w14:textId="6AAA3BC3" w:rsidR="00E16AD3" w:rsidRDefault="00E16AD3" w:rsidP="00E16AD3">
      <w:pPr>
        <w:pStyle w:val="NormalWeb"/>
      </w:pPr>
    </w:p>
    <w:p w14:paraId="6B695FBE" w14:textId="77777777" w:rsidR="00AB35C4" w:rsidRPr="00A132DF" w:rsidRDefault="00AB35C4" w:rsidP="00A132DF"/>
    <w:p w14:paraId="66AA44E1" w14:textId="10B14118" w:rsidR="00A132DF" w:rsidRPr="00A132DF" w:rsidRDefault="005C00DC" w:rsidP="00A132DF">
      <w:r>
        <w:pict w14:anchorId="36BA55C7">
          <v:rect id="_x0000_i1025" style="width:0;height:1.5pt" o:hralign="center" o:hrstd="t" o:hr="t" fillcolor="#a0a0a0" stroked="f"/>
        </w:pict>
      </w:r>
    </w:p>
    <w:p w14:paraId="2D2152FE" w14:textId="6C680710" w:rsidR="00A132DF" w:rsidRPr="00A132DF" w:rsidRDefault="00A132DF" w:rsidP="00A132DF">
      <w:r w:rsidRPr="00A132DF">
        <w:rPr>
          <w:b/>
          <w:bCs/>
        </w:rPr>
        <w:t>Briefing Note: Future of Neighbourhood Planning Support Services</w:t>
      </w:r>
    </w:p>
    <w:p w14:paraId="72799949" w14:textId="744F23B0" w:rsidR="00A132DF" w:rsidRPr="00A132DF" w:rsidRDefault="00A132DF" w:rsidP="00A132DF">
      <w:r w:rsidRPr="00A132DF">
        <w:rPr>
          <w:b/>
          <w:bCs/>
        </w:rPr>
        <w:t>Subject:</w:t>
      </w:r>
      <w:r w:rsidRPr="00A132DF">
        <w:t xml:space="preserve"> Implications of MHCLG Funding Changes on Neighbourhood Planning Support</w:t>
      </w:r>
    </w:p>
    <w:p w14:paraId="3DFA7C82" w14:textId="539303B0" w:rsidR="00A132DF" w:rsidRPr="00A132DF" w:rsidRDefault="00A132DF" w:rsidP="00A132DF">
      <w:r w:rsidRPr="00A132DF">
        <w:rPr>
          <w:b/>
          <w:bCs/>
        </w:rPr>
        <w:t>Date:</w:t>
      </w:r>
      <w:r w:rsidRPr="00A132DF">
        <w:t xml:space="preserve"> 1</w:t>
      </w:r>
      <w:r w:rsidR="001941F3">
        <w:t>8</w:t>
      </w:r>
      <w:r w:rsidRPr="00A132DF">
        <w:t xml:space="preserve"> June 2025</w:t>
      </w:r>
    </w:p>
    <w:p w14:paraId="4D874BC9" w14:textId="642CDEA8" w:rsidR="00A132DF" w:rsidRPr="00A132DF" w:rsidRDefault="00A132DF" w:rsidP="00A132DF">
      <w:r w:rsidRPr="00A132DF">
        <w:rPr>
          <w:b/>
          <w:bCs/>
        </w:rPr>
        <w:t>Purpose:</w:t>
      </w:r>
      <w:r w:rsidRPr="00A132DF">
        <w:br/>
        <w:t xml:space="preserve">To provide an update on the future of neighbourhood planning support services </w:t>
      </w:r>
      <w:proofErr w:type="gramStart"/>
      <w:r w:rsidRPr="00A132DF">
        <w:t>in light of</w:t>
      </w:r>
      <w:proofErr w:type="gramEnd"/>
      <w:r w:rsidRPr="00A132DF">
        <w:t xml:space="preserve"> recent communication from the Ministry of Housing, Communities and Local Government (MHCLG), and to reaffirm the importance of neighbourhood planning in shaping local development.</w:t>
      </w:r>
    </w:p>
    <w:p w14:paraId="5A733F93" w14:textId="71145389" w:rsidR="00A132DF" w:rsidRPr="00A132DF" w:rsidRDefault="005C00DC" w:rsidP="00A132DF">
      <w:r>
        <w:pict w14:anchorId="257984D1">
          <v:rect id="_x0000_i1026" style="width:0;height:1.5pt" o:hralign="center" o:hrstd="t" o:hr="t" fillcolor="#a0a0a0" stroked="f"/>
        </w:pict>
      </w:r>
    </w:p>
    <w:p w14:paraId="125AD747" w14:textId="477E0684" w:rsidR="00A132DF" w:rsidRPr="00A132DF" w:rsidRDefault="00A132DF" w:rsidP="00A132DF">
      <w:pPr>
        <w:rPr>
          <w:b/>
          <w:bCs/>
        </w:rPr>
      </w:pPr>
      <w:r w:rsidRPr="00A132DF">
        <w:rPr>
          <w:b/>
          <w:bCs/>
        </w:rPr>
        <w:t>Background</w:t>
      </w:r>
    </w:p>
    <w:p w14:paraId="42016F59" w14:textId="5DDE96BA" w:rsidR="00A132DF" w:rsidRPr="00A132DF" w:rsidRDefault="00A132DF" w:rsidP="00A132DF">
      <w:r w:rsidRPr="00A132DF">
        <w:t xml:space="preserve">Neighbourhood planning has been a cornerstone of localism, empowering communities to shape the development and growth of their areas. Since its inception, over 2,400 communities have initiated neighbourhood plans, with more than 1,000 plans successfully passing referendums. </w:t>
      </w:r>
      <w:r w:rsidR="00046E8E">
        <w:t xml:space="preserve">Many of these have been in the West Midlands Region and </w:t>
      </w:r>
      <w:r w:rsidR="009D734F">
        <w:t>here in Shropshire and Telford &amp; Wrekin</w:t>
      </w:r>
      <w:r w:rsidR="00046E8E">
        <w:t xml:space="preserve">. </w:t>
      </w:r>
      <w:r w:rsidRPr="00A132DF">
        <w:t>These plans have played a vital role in ensuring that development reflects local priorities and character.</w:t>
      </w:r>
    </w:p>
    <w:p w14:paraId="4C1977C8" w14:textId="77777777" w:rsidR="00A132DF" w:rsidRPr="00A132DF" w:rsidRDefault="00A132DF" w:rsidP="00A132DF">
      <w:r w:rsidRPr="00A132DF">
        <w:t>The success of neighbourhood planning has been underpinned by a robust support system, including grants and technical assistance, which has enabled communities—often with limited resources—to engage meaningfully in the planning process.</w:t>
      </w:r>
    </w:p>
    <w:p w14:paraId="08151451" w14:textId="77777777" w:rsidR="00A132DF" w:rsidRPr="00A132DF" w:rsidRDefault="005C00DC" w:rsidP="00A132DF">
      <w:r>
        <w:pict w14:anchorId="41E91161">
          <v:rect id="_x0000_i1027" style="width:0;height:1.5pt" o:hralign="center" o:hrstd="t" o:hr="t" fillcolor="#a0a0a0" stroked="f"/>
        </w:pict>
      </w:r>
    </w:p>
    <w:p w14:paraId="2BB9270B" w14:textId="77777777" w:rsidR="00A132DF" w:rsidRPr="00A132DF" w:rsidRDefault="00A132DF" w:rsidP="00A132DF">
      <w:pPr>
        <w:rPr>
          <w:b/>
          <w:bCs/>
        </w:rPr>
      </w:pPr>
      <w:r w:rsidRPr="00A132DF">
        <w:rPr>
          <w:b/>
          <w:bCs/>
        </w:rPr>
        <w:t>Current Situation</w:t>
      </w:r>
    </w:p>
    <w:p w14:paraId="791B8CA3" w14:textId="77777777" w:rsidR="00A132DF" w:rsidRPr="00A132DF" w:rsidRDefault="00A132DF" w:rsidP="00A132DF">
      <w:r w:rsidRPr="00A132DF">
        <w:t>MHCLG has informed us that, due to the outcomes of the recent Spending Review, they are unable to proceed with commissioning new neighbourhood planning support services for the period beyond March 2025. As a result:</w:t>
      </w:r>
    </w:p>
    <w:p w14:paraId="30EF3989" w14:textId="77777777" w:rsidR="00A132DF" w:rsidRPr="00A132DF" w:rsidRDefault="00A132DF" w:rsidP="00A132DF">
      <w:pPr>
        <w:numPr>
          <w:ilvl w:val="0"/>
          <w:numId w:val="1"/>
        </w:numPr>
      </w:pPr>
      <w:r w:rsidRPr="00A132DF">
        <w:rPr>
          <w:b/>
          <w:bCs/>
        </w:rPr>
        <w:t>No new applications</w:t>
      </w:r>
      <w:r w:rsidRPr="00A132DF">
        <w:t xml:space="preserve"> for grants or technical support will be accepted.</w:t>
      </w:r>
    </w:p>
    <w:p w14:paraId="647EFB08" w14:textId="77777777" w:rsidR="00A132DF" w:rsidRPr="00A132DF" w:rsidRDefault="00A132DF" w:rsidP="00A132DF">
      <w:pPr>
        <w:numPr>
          <w:ilvl w:val="0"/>
          <w:numId w:val="1"/>
        </w:numPr>
      </w:pPr>
      <w:r w:rsidRPr="00A132DF">
        <w:rPr>
          <w:b/>
          <w:bCs/>
        </w:rPr>
        <w:lastRenderedPageBreak/>
        <w:t>Existing technical support packages</w:t>
      </w:r>
      <w:r w:rsidRPr="00A132DF">
        <w:t xml:space="preserve"> will be completed by March 2025, with flexibility to extend delivery until March 2026 depending on individual timetables.</w:t>
      </w:r>
    </w:p>
    <w:p w14:paraId="76715FEF" w14:textId="77777777" w:rsidR="00A132DF" w:rsidRPr="00A132DF" w:rsidRDefault="00A132DF" w:rsidP="00A132DF">
      <w:pPr>
        <w:numPr>
          <w:ilvl w:val="0"/>
          <w:numId w:val="1"/>
        </w:numPr>
      </w:pPr>
      <w:r w:rsidRPr="00A132DF">
        <w:rPr>
          <w:b/>
          <w:bCs/>
        </w:rPr>
        <w:t>Support for the Champions Network and learning opportunities</w:t>
      </w:r>
      <w:r w:rsidRPr="00A132DF">
        <w:t xml:space="preserve"> will cease with immediate effect.</w:t>
      </w:r>
    </w:p>
    <w:p w14:paraId="767A4197" w14:textId="77777777" w:rsidR="00A132DF" w:rsidRPr="00A132DF" w:rsidRDefault="005C00DC" w:rsidP="00A132DF">
      <w:r>
        <w:pict w14:anchorId="254C8CB5">
          <v:rect id="_x0000_i1028" style="width:0;height:1.5pt" o:hralign="center" o:hrstd="t" o:hr="t" fillcolor="#a0a0a0" stroked="f"/>
        </w:pict>
      </w:r>
    </w:p>
    <w:p w14:paraId="4B33421B" w14:textId="77777777" w:rsidR="00A132DF" w:rsidRPr="00A132DF" w:rsidRDefault="00A132DF" w:rsidP="00A132DF">
      <w:pPr>
        <w:rPr>
          <w:b/>
          <w:bCs/>
        </w:rPr>
      </w:pPr>
      <w:r w:rsidRPr="00A132DF">
        <w:rPr>
          <w:b/>
          <w:bCs/>
        </w:rPr>
        <w:t>Implications</w:t>
      </w:r>
    </w:p>
    <w:p w14:paraId="087BD037" w14:textId="77777777" w:rsidR="00A132DF" w:rsidRDefault="00A132DF" w:rsidP="00A132DF">
      <w:r w:rsidRPr="00A132DF">
        <w:t>The withdrawal of funding and support services presents significant challenges for communities currently developing or considering neighbourhood plans. Without access to grants and expert guidance, many groups may struggle to progress or initiate plans, potentially undermining the momentum built over the past decade.</w:t>
      </w:r>
    </w:p>
    <w:p w14:paraId="4C464491" w14:textId="1FFE9DE6" w:rsidR="00AB35C4" w:rsidRPr="00A132DF" w:rsidRDefault="00AB35C4" w:rsidP="00A132DF">
      <w:r w:rsidRPr="00AB35C4">
        <w:t xml:space="preserve">Without funding, the majority of town and parish Councils will be unable to review their existing NPs. According to para 14 of the NPPF (Dec 2024), NPs are only considered up to date when they have been adopted or reviewed within 5 years. Without the necessary funding to keep plans up to date there is a risk losing </w:t>
      </w:r>
      <w:proofErr w:type="gramStart"/>
      <w:r w:rsidRPr="00AB35C4">
        <w:t>all of</w:t>
      </w:r>
      <w:proofErr w:type="gramEnd"/>
      <w:r w:rsidRPr="00AB35C4">
        <w:t xml:space="preserve"> the work and investment to date in NPs. </w:t>
      </w:r>
    </w:p>
    <w:p w14:paraId="10EF8F9F" w14:textId="77777777" w:rsidR="00A132DF" w:rsidRPr="00A132DF" w:rsidRDefault="00A132DF" w:rsidP="00A132DF">
      <w:r w:rsidRPr="00A132DF">
        <w:t>This change also impacts the broader ecosystem of neighbourhood planning, including the Champions Network, which has played a critical role in mentoring and inspiring new groups.</w:t>
      </w:r>
    </w:p>
    <w:p w14:paraId="51657EBB" w14:textId="77777777" w:rsidR="00A132DF" w:rsidRPr="00A132DF" w:rsidRDefault="005C00DC" w:rsidP="00A132DF">
      <w:r>
        <w:pict w14:anchorId="04BEC6C3">
          <v:rect id="_x0000_i1029" style="width:0;height:1.5pt" o:hralign="center" o:hrstd="t" o:hr="t" fillcolor="#a0a0a0" stroked="f"/>
        </w:pict>
      </w:r>
    </w:p>
    <w:p w14:paraId="3DBBC013" w14:textId="77777777" w:rsidR="00A132DF" w:rsidRPr="00A132DF" w:rsidRDefault="00A132DF" w:rsidP="00A132DF">
      <w:pPr>
        <w:rPr>
          <w:b/>
          <w:bCs/>
        </w:rPr>
      </w:pPr>
      <w:r w:rsidRPr="00A132DF">
        <w:rPr>
          <w:b/>
          <w:bCs/>
        </w:rPr>
        <w:t>The Importance of Continued Support</w:t>
      </w:r>
    </w:p>
    <w:p w14:paraId="66C46135" w14:textId="77777777" w:rsidR="00A132DF" w:rsidRPr="00A132DF" w:rsidRDefault="00A132DF" w:rsidP="00A132DF">
      <w:r w:rsidRPr="00A132DF">
        <w:t>Neighbourhood planning remains a vital tool for community empowerment and democratic engagement in planning. It contributes to:</w:t>
      </w:r>
    </w:p>
    <w:p w14:paraId="16D212F6" w14:textId="77777777" w:rsidR="00A132DF" w:rsidRPr="00A132DF" w:rsidRDefault="00A132DF" w:rsidP="00A132DF">
      <w:pPr>
        <w:numPr>
          <w:ilvl w:val="0"/>
          <w:numId w:val="2"/>
        </w:numPr>
      </w:pPr>
      <w:r w:rsidRPr="00A132DF">
        <w:rPr>
          <w:b/>
          <w:bCs/>
        </w:rPr>
        <w:t>Local ownership</w:t>
      </w:r>
      <w:r w:rsidRPr="00A132DF">
        <w:t xml:space="preserve"> of development decisions</w:t>
      </w:r>
    </w:p>
    <w:p w14:paraId="142E1FA4" w14:textId="77777777" w:rsidR="00A132DF" w:rsidRPr="00A132DF" w:rsidRDefault="00A132DF" w:rsidP="00A132DF">
      <w:pPr>
        <w:numPr>
          <w:ilvl w:val="0"/>
          <w:numId w:val="2"/>
        </w:numPr>
      </w:pPr>
      <w:r w:rsidRPr="00A132DF">
        <w:rPr>
          <w:b/>
          <w:bCs/>
        </w:rPr>
        <w:t>Better quality and more sustainable outcomes</w:t>
      </w:r>
    </w:p>
    <w:p w14:paraId="488099DD" w14:textId="77777777" w:rsidR="00A132DF" w:rsidRPr="00A132DF" w:rsidRDefault="00A132DF" w:rsidP="00A132DF">
      <w:pPr>
        <w:numPr>
          <w:ilvl w:val="0"/>
          <w:numId w:val="2"/>
        </w:numPr>
      </w:pPr>
      <w:r w:rsidRPr="00A132DF">
        <w:rPr>
          <w:b/>
          <w:bCs/>
        </w:rPr>
        <w:t>Stronger community cohesion and resilience</w:t>
      </w:r>
    </w:p>
    <w:p w14:paraId="53288ECC" w14:textId="448AEAEB" w:rsidR="00A132DF" w:rsidRPr="00A132DF" w:rsidRDefault="00A132DF" w:rsidP="00A132DF">
      <w:r w:rsidRPr="00A132DF">
        <w:t>Ensuring continued support—whether through alternative funding mechanisms, local authority engagement, or third-sector partnerships—is essential to maintain the integrity and accessibility of the neighbourhood planning process</w:t>
      </w:r>
      <w:r w:rsidR="002971AF">
        <w:t xml:space="preserve"> and an essential tool to give local communities more of a say in how development affects its area.</w:t>
      </w:r>
      <w:r w:rsidR="005C00DC">
        <w:pict w14:anchorId="25DBD380">
          <v:rect id="_x0000_i1030" style="width:0;height:1.5pt" o:hralign="center" o:hrstd="t" o:hr="t" fillcolor="#a0a0a0" stroked="f"/>
        </w:pict>
      </w:r>
    </w:p>
    <w:p w14:paraId="11F0F2AA" w14:textId="77777777" w:rsidR="005C00DC" w:rsidRDefault="005C00DC" w:rsidP="00A132DF">
      <w:pPr>
        <w:rPr>
          <w:b/>
          <w:bCs/>
        </w:rPr>
      </w:pPr>
    </w:p>
    <w:p w14:paraId="2B8552EF" w14:textId="77777777" w:rsidR="005C00DC" w:rsidRDefault="005C00DC" w:rsidP="00A132DF">
      <w:pPr>
        <w:rPr>
          <w:b/>
          <w:bCs/>
        </w:rPr>
      </w:pPr>
    </w:p>
    <w:p w14:paraId="55FAF8A8" w14:textId="639A24DE" w:rsidR="00A132DF" w:rsidRPr="00A132DF" w:rsidRDefault="00A132DF" w:rsidP="00A132DF">
      <w:pPr>
        <w:rPr>
          <w:b/>
          <w:bCs/>
        </w:rPr>
      </w:pPr>
      <w:r w:rsidRPr="00A132DF">
        <w:rPr>
          <w:b/>
          <w:bCs/>
        </w:rPr>
        <w:lastRenderedPageBreak/>
        <w:t>Conclusion and Next Steps</w:t>
      </w:r>
    </w:p>
    <w:p w14:paraId="718B3139" w14:textId="09FD8247" w:rsidR="00A132DF" w:rsidRPr="00A132DF" w:rsidRDefault="00A132DF" w:rsidP="00A132DF">
      <w:r>
        <w:t xml:space="preserve">The development and adoption of Neighbourhood </w:t>
      </w:r>
      <w:r w:rsidR="00046E8E">
        <w:t>Plans</w:t>
      </w:r>
      <w:r>
        <w:t xml:space="preserve"> are still </w:t>
      </w:r>
      <w:r w:rsidR="002971AF">
        <w:t>important,</w:t>
      </w:r>
      <w:r>
        <w:t xml:space="preserve"> and the sector needs to champion their value. Funding to enable new NP’s to be developed </w:t>
      </w:r>
      <w:r w:rsidR="00AB35C4">
        <w:t xml:space="preserve">and maintain existing NP’s </w:t>
      </w:r>
      <w:r>
        <w:t>is still critical and we need to persuade MHCLG to continue with financial support to encourage other communities to adopt a similar approach.</w:t>
      </w:r>
    </w:p>
    <w:p w14:paraId="7D27483C" w14:textId="20630C9E" w:rsidR="00E943DD" w:rsidRDefault="005C00DC">
      <w:r>
        <w:pict w14:anchorId="7D4D92DD">
          <v:rect id="_x0000_i1031" style="width:0;height:1.5pt" o:hralign="center" o:hrstd="t" o:hr="t" fillcolor="#a0a0a0" stroked="f"/>
        </w:pict>
      </w:r>
    </w:p>
    <w:sectPr w:rsidR="00E943D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DFE1" w14:textId="77777777" w:rsidR="00A5452D" w:rsidRDefault="00A5452D" w:rsidP="00A5452D">
      <w:pPr>
        <w:spacing w:after="0" w:line="240" w:lineRule="auto"/>
      </w:pPr>
      <w:r>
        <w:separator/>
      </w:r>
    </w:p>
  </w:endnote>
  <w:endnote w:type="continuationSeparator" w:id="0">
    <w:p w14:paraId="51134261" w14:textId="77777777" w:rsidR="00A5452D" w:rsidRDefault="00A5452D" w:rsidP="00A5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523C2" w14:textId="77777777" w:rsidR="00A5452D" w:rsidRDefault="00A5452D" w:rsidP="00A5452D">
      <w:pPr>
        <w:spacing w:after="0" w:line="240" w:lineRule="auto"/>
      </w:pPr>
      <w:r>
        <w:separator/>
      </w:r>
    </w:p>
  </w:footnote>
  <w:footnote w:type="continuationSeparator" w:id="0">
    <w:p w14:paraId="024F53B0" w14:textId="77777777" w:rsidR="00A5452D" w:rsidRDefault="00A5452D" w:rsidP="00A5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3050" w14:textId="77777777" w:rsidR="005C00DC" w:rsidRPr="001B292E" w:rsidRDefault="005C00DC" w:rsidP="005C00DC">
    <w:pPr>
      <w:pStyle w:val="Header"/>
      <w:rPr>
        <w:b/>
        <w:bCs/>
      </w:rPr>
    </w:pPr>
    <w:r w:rsidRPr="001B292E">
      <w:rPr>
        <w:b/>
        <w:bCs/>
      </w:rPr>
      <w:t>Council Meeting</w:t>
    </w:r>
  </w:p>
  <w:p w14:paraId="203645B4" w14:textId="77777777" w:rsidR="005C00DC" w:rsidRPr="001B292E" w:rsidRDefault="005C00DC" w:rsidP="005C00DC">
    <w:pPr>
      <w:pStyle w:val="Header"/>
      <w:rPr>
        <w:b/>
        <w:bCs/>
      </w:rPr>
    </w:pPr>
    <w:r w:rsidRPr="001B292E">
      <w:rPr>
        <w:b/>
        <w:bCs/>
      </w:rPr>
      <w:t>10 July 2025</w:t>
    </w:r>
  </w:p>
  <w:p w14:paraId="42C69A29" w14:textId="6EDBF930" w:rsidR="005C00DC" w:rsidRDefault="005C00DC" w:rsidP="005C00DC">
    <w:pPr>
      <w:pStyle w:val="Header"/>
    </w:pPr>
    <w:r w:rsidRPr="001B292E">
      <w:rPr>
        <w:b/>
        <w:bCs/>
      </w:rPr>
      <w:t>Appendix CO5</w:t>
    </w:r>
    <w:r>
      <w:rPr>
        <w:b/>
        <w:bCs/>
      </w:rPr>
      <w:t>9</w:t>
    </w:r>
    <w:r>
      <w:ptab w:relativeTo="margin" w:alignment="center" w:leader="none"/>
    </w:r>
    <w:r>
      <w:ptab w:relativeTo="margin" w:alignment="right" w:leader="none"/>
    </w:r>
  </w:p>
  <w:p w14:paraId="078E3C25" w14:textId="46E80FF7" w:rsidR="00A5452D" w:rsidRDefault="00A54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26D"/>
    <w:multiLevelType w:val="multilevel"/>
    <w:tmpl w:val="7BF8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36546"/>
    <w:multiLevelType w:val="multilevel"/>
    <w:tmpl w:val="D4E2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859973">
    <w:abstractNumId w:val="1"/>
  </w:num>
  <w:num w:numId="2" w16cid:durableId="205607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DF"/>
    <w:rsid w:val="00046E8E"/>
    <w:rsid w:val="001941F3"/>
    <w:rsid w:val="00247705"/>
    <w:rsid w:val="002971AF"/>
    <w:rsid w:val="002B7DDD"/>
    <w:rsid w:val="00334368"/>
    <w:rsid w:val="003675C1"/>
    <w:rsid w:val="005C00DC"/>
    <w:rsid w:val="005E46DF"/>
    <w:rsid w:val="00623A81"/>
    <w:rsid w:val="007C2F4E"/>
    <w:rsid w:val="007F28DE"/>
    <w:rsid w:val="009D734F"/>
    <w:rsid w:val="00A132DF"/>
    <w:rsid w:val="00A318C5"/>
    <w:rsid w:val="00A5452D"/>
    <w:rsid w:val="00AB35C4"/>
    <w:rsid w:val="00D24888"/>
    <w:rsid w:val="00E16AD3"/>
    <w:rsid w:val="00E26C20"/>
    <w:rsid w:val="00E943DD"/>
    <w:rsid w:val="00E9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3E8D3D"/>
  <w15:chartTrackingRefBased/>
  <w15:docId w15:val="{4A3244FC-456F-4AE1-9A9A-70236358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2DF"/>
    <w:rPr>
      <w:rFonts w:eastAsiaTheme="majorEastAsia" w:cstheme="majorBidi"/>
      <w:color w:val="272727" w:themeColor="text1" w:themeTint="D8"/>
    </w:rPr>
  </w:style>
  <w:style w:type="paragraph" w:styleId="Title">
    <w:name w:val="Title"/>
    <w:basedOn w:val="Normal"/>
    <w:next w:val="Normal"/>
    <w:link w:val="TitleChar"/>
    <w:uiPriority w:val="10"/>
    <w:qFormat/>
    <w:rsid w:val="00A13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2DF"/>
    <w:pPr>
      <w:spacing w:before="160"/>
      <w:jc w:val="center"/>
    </w:pPr>
    <w:rPr>
      <w:i/>
      <w:iCs/>
      <w:color w:val="404040" w:themeColor="text1" w:themeTint="BF"/>
    </w:rPr>
  </w:style>
  <w:style w:type="character" w:customStyle="1" w:styleId="QuoteChar">
    <w:name w:val="Quote Char"/>
    <w:basedOn w:val="DefaultParagraphFont"/>
    <w:link w:val="Quote"/>
    <w:uiPriority w:val="29"/>
    <w:rsid w:val="00A132DF"/>
    <w:rPr>
      <w:i/>
      <w:iCs/>
      <w:color w:val="404040" w:themeColor="text1" w:themeTint="BF"/>
    </w:rPr>
  </w:style>
  <w:style w:type="paragraph" w:styleId="ListParagraph">
    <w:name w:val="List Paragraph"/>
    <w:basedOn w:val="Normal"/>
    <w:uiPriority w:val="34"/>
    <w:qFormat/>
    <w:rsid w:val="00A132DF"/>
    <w:pPr>
      <w:ind w:left="720"/>
      <w:contextualSpacing/>
    </w:pPr>
  </w:style>
  <w:style w:type="character" w:styleId="IntenseEmphasis">
    <w:name w:val="Intense Emphasis"/>
    <w:basedOn w:val="DefaultParagraphFont"/>
    <w:uiPriority w:val="21"/>
    <w:qFormat/>
    <w:rsid w:val="00A132DF"/>
    <w:rPr>
      <w:i/>
      <w:iCs/>
      <w:color w:val="0F4761" w:themeColor="accent1" w:themeShade="BF"/>
    </w:rPr>
  </w:style>
  <w:style w:type="paragraph" w:styleId="IntenseQuote">
    <w:name w:val="Intense Quote"/>
    <w:basedOn w:val="Normal"/>
    <w:next w:val="Normal"/>
    <w:link w:val="IntenseQuoteChar"/>
    <w:uiPriority w:val="30"/>
    <w:qFormat/>
    <w:rsid w:val="00A13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2DF"/>
    <w:rPr>
      <w:i/>
      <w:iCs/>
      <w:color w:val="0F4761" w:themeColor="accent1" w:themeShade="BF"/>
    </w:rPr>
  </w:style>
  <w:style w:type="character" w:styleId="IntenseReference">
    <w:name w:val="Intense Reference"/>
    <w:basedOn w:val="DefaultParagraphFont"/>
    <w:uiPriority w:val="32"/>
    <w:qFormat/>
    <w:rsid w:val="00A132DF"/>
    <w:rPr>
      <w:b/>
      <w:bCs/>
      <w:smallCaps/>
      <w:color w:val="0F4761" w:themeColor="accent1" w:themeShade="BF"/>
      <w:spacing w:val="5"/>
    </w:rPr>
  </w:style>
  <w:style w:type="paragraph" w:styleId="Header">
    <w:name w:val="header"/>
    <w:basedOn w:val="Normal"/>
    <w:link w:val="HeaderChar"/>
    <w:uiPriority w:val="99"/>
    <w:unhideWhenUsed/>
    <w:rsid w:val="00A5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52D"/>
  </w:style>
  <w:style w:type="paragraph" w:styleId="Footer">
    <w:name w:val="footer"/>
    <w:basedOn w:val="Normal"/>
    <w:link w:val="FooterChar"/>
    <w:uiPriority w:val="99"/>
    <w:unhideWhenUsed/>
    <w:rsid w:val="00A5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52D"/>
  </w:style>
  <w:style w:type="paragraph" w:styleId="NormalWeb">
    <w:name w:val="Normal (Web)"/>
    <w:basedOn w:val="Normal"/>
    <w:uiPriority w:val="99"/>
    <w:semiHidden/>
    <w:unhideWhenUsed/>
    <w:rsid w:val="00E16AD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3765">
      <w:bodyDiv w:val="1"/>
      <w:marLeft w:val="0"/>
      <w:marRight w:val="0"/>
      <w:marTop w:val="0"/>
      <w:marBottom w:val="0"/>
      <w:divBdr>
        <w:top w:val="none" w:sz="0" w:space="0" w:color="auto"/>
        <w:left w:val="none" w:sz="0" w:space="0" w:color="auto"/>
        <w:bottom w:val="none" w:sz="0" w:space="0" w:color="auto"/>
        <w:right w:val="none" w:sz="0" w:space="0" w:color="auto"/>
      </w:divBdr>
    </w:div>
    <w:div w:id="289628997">
      <w:bodyDiv w:val="1"/>
      <w:marLeft w:val="0"/>
      <w:marRight w:val="0"/>
      <w:marTop w:val="0"/>
      <w:marBottom w:val="0"/>
      <w:divBdr>
        <w:top w:val="none" w:sz="0" w:space="0" w:color="auto"/>
        <w:left w:val="none" w:sz="0" w:space="0" w:color="auto"/>
        <w:bottom w:val="none" w:sz="0" w:space="0" w:color="auto"/>
        <w:right w:val="none" w:sz="0" w:space="0" w:color="auto"/>
      </w:divBdr>
    </w:div>
    <w:div w:id="527529164">
      <w:bodyDiv w:val="1"/>
      <w:marLeft w:val="0"/>
      <w:marRight w:val="0"/>
      <w:marTop w:val="0"/>
      <w:marBottom w:val="0"/>
      <w:divBdr>
        <w:top w:val="none" w:sz="0" w:space="0" w:color="auto"/>
        <w:left w:val="none" w:sz="0" w:space="0" w:color="auto"/>
        <w:bottom w:val="none" w:sz="0" w:space="0" w:color="auto"/>
        <w:right w:val="none" w:sz="0" w:space="0" w:color="auto"/>
      </w:divBdr>
      <w:divsChild>
        <w:div w:id="1326743492">
          <w:marLeft w:val="0"/>
          <w:marRight w:val="0"/>
          <w:marTop w:val="0"/>
          <w:marBottom w:val="0"/>
          <w:divBdr>
            <w:top w:val="none" w:sz="0" w:space="0" w:color="auto"/>
            <w:left w:val="none" w:sz="0" w:space="0" w:color="auto"/>
            <w:bottom w:val="none" w:sz="0" w:space="0" w:color="auto"/>
            <w:right w:val="none" w:sz="0" w:space="0" w:color="auto"/>
          </w:divBdr>
        </w:div>
      </w:divsChild>
    </w:div>
    <w:div w:id="611324644">
      <w:bodyDiv w:val="1"/>
      <w:marLeft w:val="0"/>
      <w:marRight w:val="0"/>
      <w:marTop w:val="0"/>
      <w:marBottom w:val="0"/>
      <w:divBdr>
        <w:top w:val="none" w:sz="0" w:space="0" w:color="auto"/>
        <w:left w:val="none" w:sz="0" w:space="0" w:color="auto"/>
        <w:bottom w:val="none" w:sz="0" w:space="0" w:color="auto"/>
        <w:right w:val="none" w:sz="0" w:space="0" w:color="auto"/>
      </w:divBdr>
    </w:div>
    <w:div w:id="925462699">
      <w:bodyDiv w:val="1"/>
      <w:marLeft w:val="0"/>
      <w:marRight w:val="0"/>
      <w:marTop w:val="0"/>
      <w:marBottom w:val="0"/>
      <w:divBdr>
        <w:top w:val="none" w:sz="0" w:space="0" w:color="auto"/>
        <w:left w:val="none" w:sz="0" w:space="0" w:color="auto"/>
        <w:bottom w:val="none" w:sz="0" w:space="0" w:color="auto"/>
        <w:right w:val="none" w:sz="0" w:space="0" w:color="auto"/>
      </w:divBdr>
      <w:divsChild>
        <w:div w:id="594636963">
          <w:marLeft w:val="0"/>
          <w:marRight w:val="0"/>
          <w:marTop w:val="0"/>
          <w:marBottom w:val="0"/>
          <w:divBdr>
            <w:top w:val="none" w:sz="0" w:space="0" w:color="auto"/>
            <w:left w:val="none" w:sz="0" w:space="0" w:color="auto"/>
            <w:bottom w:val="none" w:sz="0" w:space="0" w:color="auto"/>
            <w:right w:val="none" w:sz="0" w:space="0" w:color="auto"/>
          </w:divBdr>
        </w:div>
      </w:divsChild>
    </w:div>
    <w:div w:id="1263148681">
      <w:bodyDiv w:val="1"/>
      <w:marLeft w:val="0"/>
      <w:marRight w:val="0"/>
      <w:marTop w:val="0"/>
      <w:marBottom w:val="0"/>
      <w:divBdr>
        <w:top w:val="none" w:sz="0" w:space="0" w:color="auto"/>
        <w:left w:val="none" w:sz="0" w:space="0" w:color="auto"/>
        <w:bottom w:val="none" w:sz="0" w:space="0" w:color="auto"/>
        <w:right w:val="none" w:sz="0" w:space="0" w:color="auto"/>
      </w:divBdr>
    </w:div>
    <w:div w:id="1315988882">
      <w:bodyDiv w:val="1"/>
      <w:marLeft w:val="0"/>
      <w:marRight w:val="0"/>
      <w:marTop w:val="0"/>
      <w:marBottom w:val="0"/>
      <w:divBdr>
        <w:top w:val="none" w:sz="0" w:space="0" w:color="auto"/>
        <w:left w:val="none" w:sz="0" w:space="0" w:color="auto"/>
        <w:bottom w:val="none" w:sz="0" w:space="0" w:color="auto"/>
        <w:right w:val="none" w:sz="0" w:space="0" w:color="auto"/>
      </w:divBdr>
    </w:div>
    <w:div w:id="19218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FE08-592F-45B6-8D7F-3C60A49A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3029</Characters>
  <Application>Microsoft Office Word</Application>
  <DocSecurity>0</DocSecurity>
  <Lines>178</Lines>
  <Paragraphs>57</Paragraphs>
  <ScaleCrop>false</ScaleCrop>
  <Company>Shropshire Council</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Mellings</dc:creator>
  <cp:keywords/>
  <dc:description/>
  <cp:lastModifiedBy>Town Clerk</cp:lastModifiedBy>
  <cp:revision>3</cp:revision>
  <dcterms:created xsi:type="dcterms:W3CDTF">2025-06-19T10:47:00Z</dcterms:created>
  <dcterms:modified xsi:type="dcterms:W3CDTF">2025-07-03T07:32:00Z</dcterms:modified>
</cp:coreProperties>
</file>