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598"/>
        <w:gridCol w:w="2423"/>
      </w:tblGrid>
      <w:tr w:rsidR="00350D9C" w:rsidRPr="001028A7" w14:paraId="768E47B0" w14:textId="77777777" w:rsidTr="007F78FF">
        <w:tc>
          <w:tcPr>
            <w:tcW w:w="6947" w:type="dxa"/>
          </w:tcPr>
          <w:p w14:paraId="4DCDBDF0" w14:textId="77777777" w:rsidR="00350D9C" w:rsidRPr="001028A7" w:rsidRDefault="00350D9C" w:rsidP="007F78FF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68FC8BDB" w14:textId="77777777" w:rsidR="00350D9C" w:rsidRPr="001028A7" w:rsidRDefault="00350D9C" w:rsidP="007F78FF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Council 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>Meeting</w:t>
            </w:r>
          </w:p>
          <w:p w14:paraId="3B8E5170" w14:textId="77777777" w:rsidR="00350D9C" w:rsidRPr="001028A7" w:rsidRDefault="00350D9C" w:rsidP="007F78F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5DD6F959" w14:textId="77777777" w:rsidR="00350D9C" w:rsidRPr="001028A7" w:rsidRDefault="00350D9C" w:rsidP="007F78FF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DF4F5C6" wp14:editId="3985B680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1B28A5FF" w14:textId="77777777" w:rsidR="00350D9C" w:rsidRPr="001028A7" w:rsidRDefault="00350D9C" w:rsidP="007F78FF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0174F93D" w14:textId="77777777" w:rsidR="00350D9C" w:rsidRPr="001028A7" w:rsidRDefault="00350D9C" w:rsidP="007F78FF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7F8A4537" w14:textId="77777777" w:rsidR="00350D9C" w:rsidRPr="001028A7" w:rsidRDefault="00350D9C" w:rsidP="007F78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0D9C" w:rsidRPr="001028A7" w14:paraId="20F05B46" w14:textId="77777777" w:rsidTr="007F78FF">
        <w:tc>
          <w:tcPr>
            <w:tcW w:w="6947" w:type="dxa"/>
          </w:tcPr>
          <w:p w14:paraId="2B5B2471" w14:textId="6291BB52" w:rsidR="00350D9C" w:rsidRDefault="00350D9C" w:rsidP="00350D9C">
            <w:pPr>
              <w:ind w:left="1738" w:hanging="184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Play Area Maintenance</w:t>
            </w:r>
          </w:p>
          <w:p w14:paraId="4764282A" w14:textId="19BCD9C0" w:rsidR="00350D9C" w:rsidRPr="001028A7" w:rsidRDefault="00350D9C" w:rsidP="00350D9C">
            <w:pPr>
              <w:ind w:left="1738" w:hanging="184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6865B57D" w14:textId="77777777" w:rsidR="00350D9C" w:rsidRPr="001028A7" w:rsidRDefault="00350D9C" w:rsidP="007F78F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50D9C" w:rsidRPr="001028A7" w14:paraId="5B56D6AB" w14:textId="77777777" w:rsidTr="007F78FF">
        <w:tc>
          <w:tcPr>
            <w:tcW w:w="6947" w:type="dxa"/>
          </w:tcPr>
          <w:p w14:paraId="3FEA3E42" w14:textId="5D5E185C" w:rsidR="00350D9C" w:rsidRPr="001028A7" w:rsidRDefault="00350D9C" w:rsidP="007F78F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14 August 2025</w:t>
            </w:r>
          </w:p>
          <w:p w14:paraId="18633BCD" w14:textId="77777777" w:rsidR="00350D9C" w:rsidRPr="001028A7" w:rsidRDefault="00350D9C" w:rsidP="007F78F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31F9E870" w14:textId="77777777" w:rsidR="00350D9C" w:rsidRPr="001028A7" w:rsidRDefault="00350D9C" w:rsidP="007F78F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50D9C" w:rsidRPr="001028A7" w14:paraId="0A872722" w14:textId="77777777" w:rsidTr="007F78FF">
        <w:tc>
          <w:tcPr>
            <w:tcW w:w="6947" w:type="dxa"/>
          </w:tcPr>
          <w:p w14:paraId="2D7650FD" w14:textId="7CF246E9" w:rsidR="00350D9C" w:rsidRPr="001028A7" w:rsidRDefault="00350D9C" w:rsidP="007F78F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C</w:t>
            </w:r>
            <w:r w:rsidR="00EB185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067</w:t>
            </w:r>
          </w:p>
          <w:p w14:paraId="2F0DBED8" w14:textId="77777777" w:rsidR="00350D9C" w:rsidRPr="001028A7" w:rsidRDefault="00350D9C" w:rsidP="007F78FF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3D5F4281" w14:textId="77777777" w:rsidR="00350D9C" w:rsidRPr="001028A7" w:rsidRDefault="00350D9C" w:rsidP="007F78F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565674DA" w14:textId="77777777" w:rsidR="00350D9C" w:rsidRDefault="00350D9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2338B2F" w14:textId="0F1D70AB" w:rsidR="00C15F28" w:rsidRPr="00F823FB" w:rsidRDefault="00F823FB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F823FB">
        <w:rPr>
          <w:rFonts w:ascii="Arial" w:hAnsi="Arial" w:cs="Arial"/>
          <w:b/>
          <w:bCs/>
          <w:sz w:val="24"/>
          <w:szCs w:val="24"/>
          <w:u w:val="single"/>
          <w:lang w:val="en-US"/>
        </w:rPr>
        <w:t>BUDGET SPENT TO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302"/>
        <w:gridCol w:w="1765"/>
      </w:tblGrid>
      <w:tr w:rsidR="00A22FCB" w:rsidRPr="00350D9C" w14:paraId="0773B76C" w14:textId="7B0E6007" w:rsidTr="00350D9C">
        <w:tc>
          <w:tcPr>
            <w:tcW w:w="5949" w:type="dxa"/>
            <w:shd w:val="clear" w:color="auto" w:fill="D9D9D9" w:themeFill="background1" w:themeFillShade="D9"/>
          </w:tcPr>
          <w:p w14:paraId="72F4FBBF" w14:textId="300C7D93" w:rsidR="00A22FCB" w:rsidRPr="00350D9C" w:rsidRDefault="00C15F2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Opening budget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3B6AB377" w14:textId="77777777" w:rsidR="00A22FCB" w:rsidRPr="00350D9C" w:rsidRDefault="00A22FCB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14:paraId="7186D54B" w14:textId="1DBCE767" w:rsidR="00A22FCB" w:rsidRPr="00350D9C" w:rsidRDefault="00BA1FDA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£</w:t>
            </w:r>
            <w:r w:rsidR="006905DE" w:rsidRPr="00350D9C">
              <w:rPr>
                <w:rFonts w:ascii="Arial" w:hAnsi="Arial" w:cs="Arial"/>
                <w:sz w:val="24"/>
                <w:szCs w:val="24"/>
                <w:lang w:val="en-US"/>
              </w:rPr>
              <w:t>20,000</w:t>
            </w:r>
          </w:p>
        </w:tc>
      </w:tr>
      <w:tr w:rsidR="00A22FCB" w:rsidRPr="00350D9C" w14:paraId="05E17DAE" w14:textId="5CB18113" w:rsidTr="00350D9C">
        <w:tc>
          <w:tcPr>
            <w:tcW w:w="5949" w:type="dxa"/>
          </w:tcPr>
          <w:p w14:paraId="7D505FE1" w14:textId="386493D7" w:rsidR="00A22FCB" w:rsidRPr="00350D9C" w:rsidRDefault="00A22FC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Repairs to wet pour on Town Park and Westlands</w:t>
            </w:r>
            <w:r w:rsidR="00C51790"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(carried out due to H&amp;S concern)</w:t>
            </w:r>
          </w:p>
        </w:tc>
        <w:tc>
          <w:tcPr>
            <w:tcW w:w="1302" w:type="dxa"/>
          </w:tcPr>
          <w:p w14:paraId="0F7B3D0B" w14:textId="3ECB6B10" w:rsidR="00A22FCB" w:rsidRPr="00350D9C" w:rsidRDefault="006905DE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3,500</w:t>
            </w:r>
          </w:p>
        </w:tc>
        <w:tc>
          <w:tcPr>
            <w:tcW w:w="1765" w:type="dxa"/>
          </w:tcPr>
          <w:p w14:paraId="20B1A639" w14:textId="55360EB4" w:rsidR="00A22FCB" w:rsidRPr="00350D9C" w:rsidRDefault="006905DE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16,500</w:t>
            </w:r>
          </w:p>
        </w:tc>
      </w:tr>
      <w:tr w:rsidR="00FF3765" w:rsidRPr="00350D9C" w14:paraId="655944E5" w14:textId="77777777" w:rsidTr="00350D9C">
        <w:tc>
          <w:tcPr>
            <w:tcW w:w="5949" w:type="dxa"/>
          </w:tcPr>
          <w:p w14:paraId="1D9E9E94" w14:textId="67FBE33B" w:rsidR="00FF3765" w:rsidRPr="00350D9C" w:rsidRDefault="00FF376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Repairs to the Basket Swing on Bungtinsdale</w:t>
            </w:r>
            <w:r w:rsidR="00E75ECA"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2" w:type="dxa"/>
          </w:tcPr>
          <w:p w14:paraId="693642E5" w14:textId="7EB69C0D" w:rsidR="00FF3765" w:rsidRPr="00350D9C" w:rsidRDefault="00FF3765" w:rsidP="006905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0D9C">
              <w:rPr>
                <w:rFonts w:ascii="Arial" w:hAnsi="Arial" w:cs="Arial"/>
                <w:sz w:val="24"/>
                <w:szCs w:val="24"/>
              </w:rPr>
              <w:t>2449.00</w:t>
            </w:r>
          </w:p>
        </w:tc>
        <w:tc>
          <w:tcPr>
            <w:tcW w:w="1765" w:type="dxa"/>
          </w:tcPr>
          <w:p w14:paraId="61B12EB2" w14:textId="16268771" w:rsidR="00FF3765" w:rsidRPr="00350D9C" w:rsidRDefault="00FF3765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14,051.00</w:t>
            </w:r>
          </w:p>
        </w:tc>
      </w:tr>
      <w:tr w:rsidR="00A22FCB" w:rsidRPr="00350D9C" w14:paraId="042A42FE" w14:textId="5A4296E5" w:rsidTr="00350D9C">
        <w:tc>
          <w:tcPr>
            <w:tcW w:w="5949" w:type="dxa"/>
          </w:tcPr>
          <w:p w14:paraId="369F35E8" w14:textId="4C83E785" w:rsidR="00A22FCB" w:rsidRPr="00350D9C" w:rsidRDefault="00A22FC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Repairs to wet pour at Croft Way</w:t>
            </w:r>
            <w:r w:rsidR="00C51790"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(caused by vandalism, H&amp;S concern)</w:t>
            </w:r>
          </w:p>
        </w:tc>
        <w:tc>
          <w:tcPr>
            <w:tcW w:w="1302" w:type="dxa"/>
          </w:tcPr>
          <w:p w14:paraId="14E3D9E1" w14:textId="6075B22E" w:rsidR="00A22FCB" w:rsidRPr="00350D9C" w:rsidRDefault="006905DE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</w:rPr>
              <w:t>3,596.35</w:t>
            </w:r>
          </w:p>
        </w:tc>
        <w:tc>
          <w:tcPr>
            <w:tcW w:w="1765" w:type="dxa"/>
          </w:tcPr>
          <w:p w14:paraId="47A3C641" w14:textId="1A38D43D" w:rsidR="00A22FCB" w:rsidRPr="00350D9C" w:rsidRDefault="00FF3765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10,454.65</w:t>
            </w:r>
          </w:p>
        </w:tc>
      </w:tr>
      <w:tr w:rsidR="00A22FCB" w:rsidRPr="00350D9C" w14:paraId="68880C2D" w14:textId="70F97723" w:rsidTr="00350D9C">
        <w:tc>
          <w:tcPr>
            <w:tcW w:w="5949" w:type="dxa"/>
          </w:tcPr>
          <w:p w14:paraId="6458AADE" w14:textId="642D4348" w:rsidR="00A22FCB" w:rsidRPr="00350D9C" w:rsidRDefault="006905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Repairs to Slide unit on Longlands</w:t>
            </w:r>
            <w:r w:rsidR="00C51790"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(H&amp;S concern)</w:t>
            </w:r>
          </w:p>
        </w:tc>
        <w:tc>
          <w:tcPr>
            <w:tcW w:w="1302" w:type="dxa"/>
          </w:tcPr>
          <w:p w14:paraId="389FE103" w14:textId="2164FC7F" w:rsidR="00A22FCB" w:rsidRPr="00350D9C" w:rsidRDefault="00C0776B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</w:rPr>
              <w:t>855.00</w:t>
            </w:r>
          </w:p>
        </w:tc>
        <w:tc>
          <w:tcPr>
            <w:tcW w:w="1765" w:type="dxa"/>
          </w:tcPr>
          <w:p w14:paraId="2D5C7D84" w14:textId="5E6DE8EC" w:rsidR="00A22FCB" w:rsidRPr="00350D9C" w:rsidRDefault="00C0776B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9599.65</w:t>
            </w:r>
          </w:p>
        </w:tc>
      </w:tr>
      <w:tr w:rsidR="00C15F28" w:rsidRPr="00350D9C" w14:paraId="4DD8F4B5" w14:textId="77777777" w:rsidTr="00350D9C">
        <w:tc>
          <w:tcPr>
            <w:tcW w:w="5949" w:type="dxa"/>
          </w:tcPr>
          <w:p w14:paraId="6CDBA543" w14:textId="48323507" w:rsidR="00C15F28" w:rsidRPr="00350D9C" w:rsidRDefault="00C15F2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Budget spent to date</w:t>
            </w:r>
          </w:p>
        </w:tc>
        <w:tc>
          <w:tcPr>
            <w:tcW w:w="1302" w:type="dxa"/>
          </w:tcPr>
          <w:p w14:paraId="415FDCD2" w14:textId="7306245F" w:rsidR="00C15F28" w:rsidRPr="00350D9C" w:rsidRDefault="00BA1FDA" w:rsidP="006905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</w:t>
            </w:r>
            <w:r w:rsidR="00C15F28"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9579.65</w:t>
            </w:r>
          </w:p>
        </w:tc>
        <w:tc>
          <w:tcPr>
            <w:tcW w:w="1765" w:type="dxa"/>
          </w:tcPr>
          <w:p w14:paraId="15A74A45" w14:textId="77777777" w:rsidR="00C15F28" w:rsidRPr="00350D9C" w:rsidRDefault="00C15F28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905DE" w:rsidRPr="00350D9C" w14:paraId="4A98AE69" w14:textId="77777777" w:rsidTr="00350D9C">
        <w:tc>
          <w:tcPr>
            <w:tcW w:w="5949" w:type="dxa"/>
          </w:tcPr>
          <w:p w14:paraId="3BD4E0D4" w14:textId="77777777" w:rsidR="006905DE" w:rsidRPr="00350D9C" w:rsidRDefault="006905D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</w:tcPr>
          <w:p w14:paraId="70C1FE8D" w14:textId="77777777" w:rsidR="006905DE" w:rsidRPr="00350D9C" w:rsidRDefault="006905DE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</w:tcPr>
          <w:p w14:paraId="5D4F69BF" w14:textId="77777777" w:rsidR="006905DE" w:rsidRPr="00350D9C" w:rsidRDefault="006905DE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00C2" w:rsidRPr="00350D9C" w14:paraId="5E39C5B5" w14:textId="77777777" w:rsidTr="00350D9C">
        <w:tc>
          <w:tcPr>
            <w:tcW w:w="5949" w:type="dxa"/>
            <w:shd w:val="clear" w:color="auto" w:fill="D9D9D9" w:themeFill="background1" w:themeFillShade="D9"/>
          </w:tcPr>
          <w:p w14:paraId="45B5CEE0" w14:textId="77777777" w:rsidR="006905DE" w:rsidRPr="00350D9C" w:rsidRDefault="006905D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Proposed expenditure as listed below</w:t>
            </w:r>
          </w:p>
          <w:p w14:paraId="5533B31F" w14:textId="0FC0DD68" w:rsidR="00C15F28" w:rsidRPr="00350D9C" w:rsidRDefault="00C15F2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</w:tcPr>
          <w:p w14:paraId="3B6BA13A" w14:textId="77777777" w:rsidR="006905DE" w:rsidRPr="00350D9C" w:rsidRDefault="006905DE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14:paraId="2B14F64E" w14:textId="77777777" w:rsidR="006905DE" w:rsidRPr="00350D9C" w:rsidRDefault="006905DE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905DE" w:rsidRPr="00350D9C" w14:paraId="4CF1CD5C" w14:textId="77777777" w:rsidTr="00350D9C">
        <w:tc>
          <w:tcPr>
            <w:tcW w:w="5949" w:type="dxa"/>
          </w:tcPr>
          <w:p w14:paraId="7462625A" w14:textId="77777777" w:rsidR="006905DE" w:rsidRPr="00350D9C" w:rsidRDefault="00FF376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Longlands</w:t>
            </w:r>
          </w:p>
          <w:p w14:paraId="4521F8B3" w14:textId="1A25608F" w:rsidR="00C15F28" w:rsidRPr="00350D9C" w:rsidRDefault="00C15F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76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Climb Unit</w:t>
            </w: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FF3765">
              <w:rPr>
                <w:rFonts w:ascii="Arial" w:hAnsi="Arial" w:cs="Arial"/>
                <w:sz w:val="24"/>
                <w:szCs w:val="24"/>
                <w:lang w:val="en-US"/>
              </w:rPr>
              <w:t>Supply and fit three new timber pieces as discussed (include manufacturing on site)</w:t>
            </w:r>
          </w:p>
        </w:tc>
        <w:tc>
          <w:tcPr>
            <w:tcW w:w="1302" w:type="dxa"/>
          </w:tcPr>
          <w:p w14:paraId="434EB9C7" w14:textId="00CEC02F" w:rsidR="006905DE" w:rsidRPr="00350D9C" w:rsidRDefault="00FF3765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620.00</w:t>
            </w:r>
          </w:p>
        </w:tc>
        <w:tc>
          <w:tcPr>
            <w:tcW w:w="1765" w:type="dxa"/>
          </w:tcPr>
          <w:p w14:paraId="3E39DD76" w14:textId="66EA043B" w:rsidR="006905DE" w:rsidRPr="00350D9C" w:rsidRDefault="00C0776B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8979.65</w:t>
            </w:r>
            <w:r w:rsidR="00E75ECA"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905DE" w:rsidRPr="00350D9C" w14:paraId="65CAF0EA" w14:textId="77777777" w:rsidTr="00350D9C">
        <w:tc>
          <w:tcPr>
            <w:tcW w:w="5949" w:type="dxa"/>
          </w:tcPr>
          <w:p w14:paraId="648A0301" w14:textId="77777777" w:rsidR="006905DE" w:rsidRPr="00350D9C" w:rsidRDefault="006905D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Dalelands</w:t>
            </w:r>
          </w:p>
          <w:p w14:paraId="73394AD9" w14:textId="39FF4F88" w:rsidR="00C15F28" w:rsidRPr="00350D9C" w:rsidRDefault="00C15F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Runway,</w:t>
            </w:r>
            <w:r w:rsidR="00E800C2"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adjust Stops </w:t>
            </w:r>
          </w:p>
        </w:tc>
        <w:tc>
          <w:tcPr>
            <w:tcW w:w="1302" w:type="dxa"/>
          </w:tcPr>
          <w:p w14:paraId="77F96396" w14:textId="1D217C9B" w:rsidR="006905DE" w:rsidRPr="00350D9C" w:rsidRDefault="006905DE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FF3765" w:rsidRPr="00350D9C"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765" w:type="dxa"/>
          </w:tcPr>
          <w:p w14:paraId="356E5BF7" w14:textId="00FBFC1F" w:rsidR="006905DE" w:rsidRPr="00350D9C" w:rsidRDefault="00C0776B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8879.65</w:t>
            </w:r>
            <w:r w:rsidR="00E75ECA"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905DE" w:rsidRPr="00350D9C" w14:paraId="4323A26E" w14:textId="77777777" w:rsidTr="00350D9C">
        <w:trPr>
          <w:trHeight w:val="916"/>
        </w:trPr>
        <w:tc>
          <w:tcPr>
            <w:tcW w:w="5949" w:type="dxa"/>
          </w:tcPr>
          <w:p w14:paraId="3FE9C5BA" w14:textId="77777777" w:rsidR="006905DE" w:rsidRPr="00350D9C" w:rsidRDefault="006905D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Westlands</w:t>
            </w:r>
          </w:p>
          <w:p w14:paraId="2C58E5BF" w14:textId="334121AB" w:rsidR="00C15F28" w:rsidRPr="00350D9C" w:rsidRDefault="00E800C2" w:rsidP="00C15F28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Gates - e</w:t>
            </w:r>
            <w:r w:rsidR="00C15F28" w:rsidRPr="00E75ECA">
              <w:rPr>
                <w:rFonts w:ascii="Arial" w:hAnsi="Arial" w:cs="Arial"/>
                <w:sz w:val="24"/>
                <w:szCs w:val="24"/>
                <w:lang w:val="en-US"/>
              </w:rPr>
              <w:t>xcavate 2 existing gate</w:t>
            </w:r>
            <w:r w:rsidR="00C15F28" w:rsidRPr="00350D9C">
              <w:rPr>
                <w:rFonts w:ascii="Arial" w:hAnsi="Arial" w:cs="Arial"/>
                <w:sz w:val="24"/>
                <w:szCs w:val="24"/>
                <w:lang w:val="en-US"/>
              </w:rPr>
              <w:t>s and s</w:t>
            </w:r>
            <w:r w:rsidR="00C15F28" w:rsidRPr="00E75ECA">
              <w:rPr>
                <w:rFonts w:ascii="Arial" w:hAnsi="Arial" w:cs="Arial"/>
                <w:sz w:val="24"/>
                <w:szCs w:val="24"/>
                <w:lang w:val="en-US"/>
              </w:rPr>
              <w:t>upply and install 2 new Pro Safe Gates</w:t>
            </w:r>
          </w:p>
        </w:tc>
        <w:tc>
          <w:tcPr>
            <w:tcW w:w="1302" w:type="dxa"/>
          </w:tcPr>
          <w:p w14:paraId="5133BC04" w14:textId="77777777" w:rsidR="00C15F28" w:rsidRPr="00350D9C" w:rsidRDefault="00C15F28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728ECD" w14:textId="25EB5BF6" w:rsidR="006905DE" w:rsidRPr="00350D9C" w:rsidRDefault="006905DE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3,700</w:t>
            </w:r>
          </w:p>
        </w:tc>
        <w:tc>
          <w:tcPr>
            <w:tcW w:w="1765" w:type="dxa"/>
          </w:tcPr>
          <w:p w14:paraId="25F30C5C" w14:textId="77777777" w:rsidR="00C15F28" w:rsidRPr="00350D9C" w:rsidRDefault="00C15F28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ADD3413" w14:textId="48C0C284" w:rsidR="006905DE" w:rsidRPr="00350D9C" w:rsidRDefault="00C0776B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5179.65</w:t>
            </w:r>
            <w:r w:rsidR="00E75ECA"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905DE" w:rsidRPr="00350D9C" w14:paraId="2C326605" w14:textId="77777777" w:rsidTr="00350D9C">
        <w:tc>
          <w:tcPr>
            <w:tcW w:w="5949" w:type="dxa"/>
          </w:tcPr>
          <w:p w14:paraId="14365F88" w14:textId="77777777" w:rsidR="006905DE" w:rsidRPr="00350D9C" w:rsidRDefault="00E75ECA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Buntingsdale</w:t>
            </w:r>
          </w:p>
          <w:p w14:paraId="04FBAB24" w14:textId="3DA17E0A" w:rsidR="00C15F28" w:rsidRPr="00350D9C" w:rsidRDefault="00C15F28" w:rsidP="00C15F28">
            <w:pPr>
              <w:rPr>
                <w:rFonts w:ascii="Arial" w:hAnsi="Arial" w:cs="Arial"/>
                <w:sz w:val="24"/>
                <w:szCs w:val="24"/>
              </w:rPr>
            </w:pPr>
            <w:r w:rsidRPr="00350D9C">
              <w:rPr>
                <w:rFonts w:ascii="Arial" w:hAnsi="Arial" w:cs="Arial"/>
                <w:sz w:val="24"/>
                <w:szCs w:val="24"/>
              </w:rPr>
              <w:t>Gate</w:t>
            </w:r>
            <w:r w:rsidR="00E800C2" w:rsidRPr="00350D9C">
              <w:rPr>
                <w:rFonts w:ascii="Arial" w:hAnsi="Arial" w:cs="Arial"/>
                <w:sz w:val="24"/>
                <w:szCs w:val="24"/>
              </w:rPr>
              <w:t>s -</w:t>
            </w:r>
            <w:r w:rsidRPr="00350D9C">
              <w:rPr>
                <w:rFonts w:ascii="Arial" w:hAnsi="Arial" w:cs="Arial"/>
                <w:sz w:val="24"/>
                <w:szCs w:val="24"/>
              </w:rPr>
              <w:t xml:space="preserve"> to road new mechanism and adjust gate to play area (£</w:t>
            </w:r>
            <w:r w:rsidR="00E800C2" w:rsidRPr="00350D9C">
              <w:rPr>
                <w:rFonts w:ascii="Arial" w:hAnsi="Arial" w:cs="Arial"/>
                <w:sz w:val="24"/>
                <w:szCs w:val="24"/>
              </w:rPr>
              <w:t>49</w:t>
            </w:r>
            <w:r w:rsidRPr="00350D9C">
              <w:rPr>
                <w:rFonts w:ascii="Arial" w:hAnsi="Arial" w:cs="Arial"/>
                <w:sz w:val="24"/>
                <w:szCs w:val="24"/>
              </w:rPr>
              <w:t>0.00)</w:t>
            </w:r>
          </w:p>
          <w:p w14:paraId="2B584A86" w14:textId="2E2444B8" w:rsidR="00C15F28" w:rsidRPr="00350D9C" w:rsidRDefault="00C15F28" w:rsidP="00C15F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Runway</w:t>
            </w:r>
            <w:r w:rsidR="005659D6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adjust seat 350 ground clearance with a load of 78 kilos (£50)</w:t>
            </w:r>
          </w:p>
        </w:tc>
        <w:tc>
          <w:tcPr>
            <w:tcW w:w="1302" w:type="dxa"/>
          </w:tcPr>
          <w:p w14:paraId="752FCDF8" w14:textId="6AA6A02F" w:rsidR="006905DE" w:rsidRPr="00350D9C" w:rsidRDefault="00E75ECA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570.00</w:t>
            </w:r>
          </w:p>
        </w:tc>
        <w:tc>
          <w:tcPr>
            <w:tcW w:w="1765" w:type="dxa"/>
          </w:tcPr>
          <w:p w14:paraId="45FD9463" w14:textId="6962909C" w:rsidR="006905DE" w:rsidRPr="00350D9C" w:rsidRDefault="00C0776B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4609.65</w:t>
            </w:r>
          </w:p>
        </w:tc>
      </w:tr>
      <w:tr w:rsidR="00C51790" w:rsidRPr="00350D9C" w14:paraId="47D67604" w14:textId="77777777" w:rsidTr="00350D9C">
        <w:tc>
          <w:tcPr>
            <w:tcW w:w="5949" w:type="dxa"/>
          </w:tcPr>
          <w:p w14:paraId="3E46DD57" w14:textId="28B5FDC2" w:rsidR="00C51790" w:rsidRPr="00350D9C" w:rsidRDefault="00C517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</w:tcPr>
          <w:p w14:paraId="3FA621BB" w14:textId="77777777" w:rsidR="00C51790" w:rsidRPr="00350D9C" w:rsidRDefault="00C51790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</w:tcPr>
          <w:p w14:paraId="6368D594" w14:textId="77777777" w:rsidR="00C51790" w:rsidRPr="00350D9C" w:rsidRDefault="00C51790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1790" w:rsidRPr="00350D9C" w14:paraId="4823D4E6" w14:textId="77777777" w:rsidTr="00350D9C">
        <w:tc>
          <w:tcPr>
            <w:tcW w:w="5949" w:type="dxa"/>
            <w:shd w:val="clear" w:color="auto" w:fill="D9D9D9" w:themeFill="background1" w:themeFillShade="D9"/>
          </w:tcPr>
          <w:p w14:paraId="645154E8" w14:textId="378167B8" w:rsidR="00C51790" w:rsidRPr="00350D9C" w:rsidRDefault="00C15F2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Budget remaining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14:paraId="1F333A53" w14:textId="77777777" w:rsidR="00C51790" w:rsidRPr="00350D9C" w:rsidRDefault="00C51790" w:rsidP="006905D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</w:tcPr>
          <w:p w14:paraId="0B51472A" w14:textId="4DAE3511" w:rsidR="00C51790" w:rsidRPr="00350D9C" w:rsidRDefault="00BA1FDA" w:rsidP="006905D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</w:t>
            </w:r>
            <w:r w:rsidR="00C15F28"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4609.65</w:t>
            </w:r>
          </w:p>
        </w:tc>
      </w:tr>
    </w:tbl>
    <w:p w14:paraId="78B56AF0" w14:textId="539C0D19" w:rsidR="00477A2B" w:rsidRPr="00BA1FDA" w:rsidRDefault="00477A2B">
      <w:pPr>
        <w:rPr>
          <w:rFonts w:ascii="Arial" w:hAnsi="Arial" w:cs="Arial"/>
          <w:b/>
          <w:bCs/>
          <w:lang w:val="en-US"/>
        </w:rPr>
      </w:pPr>
    </w:p>
    <w:p w14:paraId="71FD1183" w14:textId="77777777" w:rsidR="00E800C2" w:rsidRPr="00BA1FDA" w:rsidRDefault="00E800C2">
      <w:pPr>
        <w:rPr>
          <w:rFonts w:ascii="Arial" w:hAnsi="Arial" w:cs="Arial"/>
          <w:b/>
          <w:bCs/>
          <w:u w:val="single"/>
          <w:lang w:val="en-US"/>
        </w:rPr>
      </w:pPr>
    </w:p>
    <w:p w14:paraId="4EBE5B03" w14:textId="77777777" w:rsidR="00E800C2" w:rsidRPr="00BA1FDA" w:rsidRDefault="00E800C2">
      <w:pPr>
        <w:rPr>
          <w:rFonts w:ascii="Arial" w:hAnsi="Arial" w:cs="Arial"/>
          <w:b/>
          <w:bCs/>
          <w:u w:val="single"/>
          <w:lang w:val="en-US"/>
        </w:rPr>
      </w:pPr>
    </w:p>
    <w:p w14:paraId="2A9B2381" w14:textId="77777777" w:rsidR="00E800C2" w:rsidRPr="00BA1FDA" w:rsidRDefault="00E800C2">
      <w:pPr>
        <w:rPr>
          <w:rFonts w:ascii="Arial" w:hAnsi="Arial" w:cs="Arial"/>
          <w:b/>
          <w:bCs/>
          <w:u w:val="single"/>
          <w:lang w:val="en-US"/>
        </w:rPr>
      </w:pPr>
    </w:p>
    <w:p w14:paraId="54525315" w14:textId="77777777" w:rsidR="00E800C2" w:rsidRDefault="00E800C2">
      <w:pPr>
        <w:rPr>
          <w:b/>
          <w:bCs/>
          <w:u w:val="single"/>
          <w:lang w:val="en-US"/>
        </w:rPr>
      </w:pPr>
    </w:p>
    <w:p w14:paraId="39539406" w14:textId="77777777" w:rsidR="00E800C2" w:rsidRDefault="00E800C2">
      <w:pPr>
        <w:rPr>
          <w:b/>
          <w:bCs/>
          <w:u w:val="single"/>
          <w:lang w:val="en-US"/>
        </w:rPr>
      </w:pPr>
    </w:p>
    <w:p w14:paraId="0594E14E" w14:textId="77777777" w:rsidR="00350D9C" w:rsidRDefault="00350D9C">
      <w:pPr>
        <w:rPr>
          <w:b/>
          <w:bCs/>
          <w:u w:val="single"/>
          <w:lang w:val="en-US"/>
        </w:rPr>
      </w:pPr>
    </w:p>
    <w:p w14:paraId="5C3D1CC6" w14:textId="77777777" w:rsidR="00350D9C" w:rsidRDefault="00350D9C">
      <w:pPr>
        <w:rPr>
          <w:b/>
          <w:bCs/>
          <w:u w:val="single"/>
          <w:lang w:val="en-US"/>
        </w:rPr>
      </w:pPr>
    </w:p>
    <w:p w14:paraId="7BEA5FD5" w14:textId="593BA064" w:rsidR="00E75ECA" w:rsidRPr="00350D9C" w:rsidRDefault="00F823FB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50D9C">
        <w:rPr>
          <w:rFonts w:ascii="Arial" w:hAnsi="Arial" w:cs="Arial"/>
          <w:b/>
          <w:bCs/>
          <w:sz w:val="24"/>
          <w:szCs w:val="24"/>
          <w:u w:val="single"/>
          <w:lang w:val="en-US"/>
        </w:rPr>
        <w:lastRenderedPageBreak/>
        <w:t>OPTIONS FOR WORK TO BE UNDERTAKEN</w:t>
      </w:r>
    </w:p>
    <w:p w14:paraId="58D1A3A2" w14:textId="2E0AC536" w:rsidR="00E75ECA" w:rsidRPr="00F823FB" w:rsidRDefault="00E75ECA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F823FB">
        <w:rPr>
          <w:rFonts w:ascii="Arial" w:hAnsi="Arial" w:cs="Arial"/>
          <w:b/>
          <w:bCs/>
          <w:sz w:val="24"/>
          <w:szCs w:val="24"/>
          <w:u w:val="single"/>
          <w:lang w:val="en-US"/>
        </w:rPr>
        <w:t>Longlands</w:t>
      </w:r>
    </w:p>
    <w:p w14:paraId="79D120F6" w14:textId="32E0E44F" w:rsidR="00C0776B" w:rsidRPr="00350D9C" w:rsidRDefault="00E75ECA">
      <w:pPr>
        <w:rPr>
          <w:rFonts w:ascii="Arial" w:hAnsi="Arial" w:cs="Arial"/>
          <w:sz w:val="24"/>
          <w:szCs w:val="24"/>
          <w:lang w:val="en-US"/>
        </w:rPr>
      </w:pPr>
      <w:r w:rsidRPr="00350D9C">
        <w:rPr>
          <w:rFonts w:ascii="Arial" w:hAnsi="Arial" w:cs="Arial"/>
          <w:sz w:val="24"/>
          <w:szCs w:val="24"/>
          <w:lang w:val="en-US"/>
        </w:rPr>
        <w:t xml:space="preserve">The slide unit had various rotten sections of wood which resulted in the </w:t>
      </w:r>
      <w:r w:rsidR="00C0776B" w:rsidRPr="00350D9C">
        <w:rPr>
          <w:rFonts w:ascii="Arial" w:hAnsi="Arial" w:cs="Arial"/>
          <w:sz w:val="24"/>
          <w:szCs w:val="24"/>
          <w:lang w:val="en-US"/>
        </w:rPr>
        <w:t>fireman’s</w:t>
      </w:r>
      <w:r w:rsidRPr="00350D9C">
        <w:rPr>
          <w:rFonts w:ascii="Arial" w:hAnsi="Arial" w:cs="Arial"/>
          <w:sz w:val="24"/>
          <w:szCs w:val="24"/>
          <w:lang w:val="en-US"/>
        </w:rPr>
        <w:t xml:space="preserve"> pole and bounce bridge being removed </w:t>
      </w:r>
      <w:r w:rsidR="00C0776B" w:rsidRPr="00350D9C">
        <w:rPr>
          <w:rFonts w:ascii="Arial" w:hAnsi="Arial" w:cs="Arial"/>
          <w:sz w:val="24"/>
          <w:szCs w:val="24"/>
          <w:lang w:val="en-US"/>
        </w:rPr>
        <w:t>to make the</w:t>
      </w:r>
      <w:r w:rsidRPr="00350D9C">
        <w:rPr>
          <w:rFonts w:ascii="Arial" w:hAnsi="Arial" w:cs="Arial"/>
          <w:sz w:val="24"/>
          <w:szCs w:val="24"/>
          <w:lang w:val="en-US"/>
        </w:rPr>
        <w:t xml:space="preserve"> unit safe for the short term</w:t>
      </w:r>
      <w:r w:rsidR="00BA1FDA" w:rsidRPr="00350D9C">
        <w:rPr>
          <w:rFonts w:ascii="Arial" w:hAnsi="Arial" w:cs="Arial"/>
          <w:sz w:val="24"/>
          <w:szCs w:val="24"/>
          <w:lang w:val="en-US"/>
        </w:rPr>
        <w:t>,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C0776B" w:rsidRPr="00BA1FDA" w14:paraId="4966D2B0" w14:textId="77777777">
        <w:tc>
          <w:tcPr>
            <w:tcW w:w="4508" w:type="dxa"/>
          </w:tcPr>
          <w:p w14:paraId="08C967B3" w14:textId="2481B081" w:rsidR="00C0776B" w:rsidRPr="00BA1FDA" w:rsidRDefault="00C0776B">
            <w:pPr>
              <w:rPr>
                <w:rFonts w:ascii="Arial" w:hAnsi="Arial" w:cs="Arial"/>
                <w:lang w:val="en-US"/>
              </w:rPr>
            </w:pPr>
            <w:r w:rsidRPr="00BA1FD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E5D139E" wp14:editId="1B65882C">
                  <wp:extent cx="2676525" cy="2152650"/>
                  <wp:effectExtent l="0" t="0" r="9525" b="0"/>
                  <wp:docPr id="19245502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55027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899" cy="215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19C0489" w14:textId="24DAEDDE" w:rsidR="00C0776B" w:rsidRPr="00BA1FDA" w:rsidRDefault="00C0776B">
            <w:pPr>
              <w:rPr>
                <w:rFonts w:ascii="Arial" w:hAnsi="Arial" w:cs="Arial"/>
                <w:lang w:val="en-US"/>
              </w:rPr>
            </w:pPr>
            <w:r w:rsidRPr="00BA1FD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49574A5" wp14:editId="5D6C393B">
                  <wp:extent cx="2733605" cy="2152650"/>
                  <wp:effectExtent l="0" t="0" r="0" b="0"/>
                  <wp:docPr id="285658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314" cy="2175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C9407" w14:textId="77777777" w:rsidR="00C0776B" w:rsidRPr="00350D9C" w:rsidRDefault="00C0776B">
      <w:pPr>
        <w:rPr>
          <w:rFonts w:ascii="Arial" w:hAnsi="Arial" w:cs="Arial"/>
          <w:sz w:val="24"/>
          <w:szCs w:val="24"/>
          <w:lang w:val="en-US"/>
        </w:rPr>
      </w:pPr>
    </w:p>
    <w:p w14:paraId="0AAE812C" w14:textId="41AB6B35" w:rsidR="00C0776B" w:rsidRPr="00350D9C" w:rsidRDefault="00C0776B">
      <w:pPr>
        <w:rPr>
          <w:rFonts w:ascii="Arial" w:hAnsi="Arial" w:cs="Arial"/>
          <w:sz w:val="24"/>
          <w:szCs w:val="24"/>
          <w:lang w:val="en-US"/>
        </w:rPr>
      </w:pPr>
      <w:r w:rsidRPr="00350D9C">
        <w:rPr>
          <w:rFonts w:ascii="Arial" w:hAnsi="Arial" w:cs="Arial"/>
          <w:sz w:val="24"/>
          <w:szCs w:val="24"/>
          <w:lang w:val="en-US"/>
        </w:rPr>
        <w:t xml:space="preserve">There are other sections of wood which are starting to rot and will need replacing over the next few years; </w:t>
      </w:r>
      <w:r w:rsidR="00350D9C">
        <w:rPr>
          <w:rFonts w:ascii="Arial" w:hAnsi="Arial" w:cs="Arial"/>
          <w:sz w:val="24"/>
          <w:szCs w:val="24"/>
          <w:lang w:val="en-US"/>
        </w:rPr>
        <w:t>t</w:t>
      </w:r>
      <w:r w:rsidRPr="00350D9C">
        <w:rPr>
          <w:rFonts w:ascii="Arial" w:hAnsi="Arial" w:cs="Arial"/>
          <w:sz w:val="24"/>
          <w:szCs w:val="24"/>
          <w:lang w:val="en-US"/>
        </w:rPr>
        <w:t>he working group consider</w:t>
      </w:r>
      <w:r w:rsidR="00BA1FDA" w:rsidRPr="00350D9C">
        <w:rPr>
          <w:rFonts w:ascii="Arial" w:hAnsi="Arial" w:cs="Arial"/>
          <w:sz w:val="24"/>
          <w:szCs w:val="24"/>
          <w:lang w:val="en-US"/>
        </w:rPr>
        <w:t>s</w:t>
      </w:r>
      <w:r w:rsidRPr="00350D9C">
        <w:rPr>
          <w:rFonts w:ascii="Arial" w:hAnsi="Arial" w:cs="Arial"/>
          <w:sz w:val="24"/>
          <w:szCs w:val="24"/>
          <w:lang w:val="en-US"/>
        </w:rPr>
        <w:t xml:space="preserve"> the unit uneconomic to repair.</w:t>
      </w:r>
    </w:p>
    <w:p w14:paraId="09925AE5" w14:textId="782142AE" w:rsidR="00634854" w:rsidRPr="00350D9C" w:rsidRDefault="00E75ECA">
      <w:pPr>
        <w:rPr>
          <w:rFonts w:ascii="Arial" w:hAnsi="Arial" w:cs="Arial"/>
          <w:sz w:val="24"/>
          <w:szCs w:val="24"/>
          <w:lang w:val="en-US"/>
        </w:rPr>
      </w:pPr>
      <w:r w:rsidRPr="00350D9C">
        <w:rPr>
          <w:rFonts w:ascii="Arial" w:hAnsi="Arial" w:cs="Arial"/>
          <w:sz w:val="24"/>
          <w:szCs w:val="24"/>
          <w:lang w:val="en-US"/>
        </w:rPr>
        <w:t>The working group discussed the following two options.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C0776B" w:rsidRPr="00350D9C" w14:paraId="2774DBDA" w14:textId="56FBE3F2" w:rsidTr="00BA1FDA">
        <w:tc>
          <w:tcPr>
            <w:tcW w:w="7792" w:type="dxa"/>
          </w:tcPr>
          <w:p w14:paraId="1C87170B" w14:textId="77777777" w:rsidR="00C0776B" w:rsidRPr="00350D9C" w:rsidRDefault="00C0776B" w:rsidP="006348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Option 1. </w:t>
            </w:r>
          </w:p>
          <w:p w14:paraId="59255C1D" w14:textId="68298959" w:rsidR="00C0776B" w:rsidRPr="00350D9C" w:rsidRDefault="00C0776B" w:rsidP="006348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Remove all items from site including Skip.</w:t>
            </w:r>
          </w:p>
          <w:p w14:paraId="094B9B15" w14:textId="0D4DF997" w:rsidR="00C0776B" w:rsidRPr="00350D9C" w:rsidRDefault="00C0776B" w:rsidP="006348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Cut off below ground </w:t>
            </w:r>
            <w:r w:rsidR="005659D6" w:rsidRPr="00350D9C">
              <w:rPr>
                <w:rFonts w:ascii="Arial" w:hAnsi="Arial" w:cs="Arial"/>
                <w:sz w:val="24"/>
                <w:szCs w:val="24"/>
                <w:lang w:val="en-US"/>
              </w:rPr>
              <w:t>level.</w:t>
            </w:r>
          </w:p>
          <w:p w14:paraId="3489203D" w14:textId="77777777" w:rsidR="00C0776B" w:rsidRPr="00350D9C" w:rsidRDefault="00C0776B" w:rsidP="006348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Remove all Rubber Surfacing (separate Skip due to rubber surcharge)</w:t>
            </w:r>
          </w:p>
          <w:p w14:paraId="27CCB64A" w14:textId="12ABC681" w:rsidR="00C0776B" w:rsidRPr="00350D9C" w:rsidRDefault="00C0776B" w:rsidP="006348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Supply and Lay topsoil</w:t>
            </w:r>
            <w:r w:rsidR="00BA1FDA" w:rsidRPr="00350D9C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Seed over</w:t>
            </w:r>
          </w:p>
        </w:tc>
        <w:tc>
          <w:tcPr>
            <w:tcW w:w="1134" w:type="dxa"/>
          </w:tcPr>
          <w:p w14:paraId="64DB5404" w14:textId="77777777" w:rsidR="00C0776B" w:rsidRPr="00350D9C" w:rsidRDefault="00C0776B" w:rsidP="00A22FC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91D56E" w14:textId="77777777" w:rsidR="00C0776B" w:rsidRPr="00350D9C" w:rsidRDefault="00C0776B" w:rsidP="00BA1F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16AC91" w14:textId="77777777" w:rsidR="00C0776B" w:rsidRPr="00350D9C" w:rsidRDefault="00C0776B" w:rsidP="00C0776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3F5B54" w14:textId="77777777" w:rsidR="00C0776B" w:rsidRPr="00350D9C" w:rsidRDefault="00C0776B" w:rsidP="00A22FC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379EC8D" w14:textId="2FE73DEC" w:rsidR="00C0776B" w:rsidRPr="00350D9C" w:rsidRDefault="00C0776B" w:rsidP="00A22FC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£3730.00</w:t>
            </w:r>
          </w:p>
        </w:tc>
      </w:tr>
      <w:tr w:rsidR="00C0776B" w:rsidRPr="00350D9C" w14:paraId="1C93F641" w14:textId="667A7879" w:rsidTr="00BA1FDA">
        <w:tc>
          <w:tcPr>
            <w:tcW w:w="7792" w:type="dxa"/>
          </w:tcPr>
          <w:p w14:paraId="1C686E57" w14:textId="77777777" w:rsidR="00C0776B" w:rsidRPr="00350D9C" w:rsidRDefault="00C0776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Option 2. </w:t>
            </w:r>
          </w:p>
          <w:p w14:paraId="49231323" w14:textId="45F32893" w:rsidR="00C0776B" w:rsidRPr="00350D9C" w:rsidRDefault="00C0776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Remove all items, cut off below ground level and fill the holes with wet pour.</w:t>
            </w:r>
          </w:p>
        </w:tc>
        <w:tc>
          <w:tcPr>
            <w:tcW w:w="1134" w:type="dxa"/>
          </w:tcPr>
          <w:p w14:paraId="3F78151E" w14:textId="77777777" w:rsidR="00C0776B" w:rsidRPr="00350D9C" w:rsidRDefault="00C0776B" w:rsidP="00A22FC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A1F07E" w14:textId="6D5DB866" w:rsidR="00C0776B" w:rsidRPr="00350D9C" w:rsidRDefault="00C0776B" w:rsidP="00A22FC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D9C">
              <w:rPr>
                <w:rFonts w:ascii="Arial" w:hAnsi="Arial" w:cs="Arial"/>
                <w:sz w:val="24"/>
                <w:szCs w:val="24"/>
                <w:lang w:val="en-US"/>
              </w:rPr>
              <w:t>£4230.00</w:t>
            </w:r>
          </w:p>
        </w:tc>
      </w:tr>
    </w:tbl>
    <w:p w14:paraId="29CF0B15" w14:textId="77777777" w:rsidR="00634854" w:rsidRPr="00350D9C" w:rsidRDefault="00634854">
      <w:pPr>
        <w:rPr>
          <w:rFonts w:ascii="Arial" w:hAnsi="Arial" w:cs="Arial"/>
          <w:sz w:val="24"/>
          <w:szCs w:val="24"/>
          <w:lang w:val="en-US"/>
        </w:rPr>
      </w:pPr>
    </w:p>
    <w:p w14:paraId="695CA8B4" w14:textId="5FD0DE78" w:rsidR="00E75ECA" w:rsidRPr="00350D9C" w:rsidRDefault="00E75ECA">
      <w:pPr>
        <w:rPr>
          <w:rFonts w:ascii="Arial" w:hAnsi="Arial" w:cs="Arial"/>
          <w:sz w:val="24"/>
          <w:szCs w:val="24"/>
          <w:lang w:val="en-US"/>
        </w:rPr>
      </w:pPr>
      <w:r w:rsidRPr="00350D9C">
        <w:rPr>
          <w:rFonts w:ascii="Arial" w:hAnsi="Arial" w:cs="Arial"/>
          <w:sz w:val="24"/>
          <w:szCs w:val="24"/>
          <w:lang w:val="en-US"/>
        </w:rPr>
        <w:t xml:space="preserve">A recommendation is not being made as to whether to replace the slide unit at this time.  The working </w:t>
      </w:r>
      <w:r w:rsidR="003622DF" w:rsidRPr="00350D9C">
        <w:rPr>
          <w:rFonts w:ascii="Arial" w:hAnsi="Arial" w:cs="Arial"/>
          <w:sz w:val="24"/>
          <w:szCs w:val="24"/>
          <w:lang w:val="en-US"/>
        </w:rPr>
        <w:t>group</w:t>
      </w:r>
      <w:r w:rsidRPr="00350D9C">
        <w:rPr>
          <w:rFonts w:ascii="Arial" w:hAnsi="Arial" w:cs="Arial"/>
          <w:sz w:val="24"/>
          <w:szCs w:val="24"/>
          <w:lang w:val="en-US"/>
        </w:rPr>
        <w:t xml:space="preserve"> </w:t>
      </w:r>
      <w:r w:rsidR="0015757D" w:rsidRPr="00350D9C">
        <w:rPr>
          <w:rFonts w:ascii="Arial" w:hAnsi="Arial" w:cs="Arial"/>
          <w:sz w:val="24"/>
          <w:szCs w:val="24"/>
          <w:lang w:val="en-US"/>
        </w:rPr>
        <w:t>recommends</w:t>
      </w:r>
      <w:r w:rsidRPr="00350D9C">
        <w:rPr>
          <w:rFonts w:ascii="Arial" w:hAnsi="Arial" w:cs="Arial"/>
          <w:sz w:val="24"/>
          <w:szCs w:val="24"/>
          <w:lang w:val="en-US"/>
        </w:rPr>
        <w:t xml:space="preserve"> that</w:t>
      </w:r>
      <w:r w:rsidR="003622DF" w:rsidRPr="00350D9C">
        <w:rPr>
          <w:rFonts w:ascii="Arial" w:hAnsi="Arial" w:cs="Arial"/>
          <w:sz w:val="24"/>
          <w:szCs w:val="24"/>
          <w:lang w:val="en-US"/>
        </w:rPr>
        <w:t xml:space="preserve">, when budget is available, </w:t>
      </w:r>
      <w:r w:rsidRPr="00350D9C">
        <w:rPr>
          <w:rFonts w:ascii="Arial" w:hAnsi="Arial" w:cs="Arial"/>
          <w:sz w:val="24"/>
          <w:szCs w:val="24"/>
          <w:lang w:val="en-US"/>
        </w:rPr>
        <w:t xml:space="preserve">the young people are consulted </w:t>
      </w:r>
      <w:r w:rsidR="003622DF" w:rsidRPr="00350D9C">
        <w:rPr>
          <w:rFonts w:ascii="Arial" w:hAnsi="Arial" w:cs="Arial"/>
          <w:sz w:val="24"/>
          <w:szCs w:val="24"/>
          <w:lang w:val="en-US"/>
        </w:rPr>
        <w:t xml:space="preserve">as to what they would like </w:t>
      </w:r>
      <w:r w:rsidR="00BA1FDA" w:rsidRPr="00350D9C">
        <w:rPr>
          <w:rFonts w:ascii="Arial" w:hAnsi="Arial" w:cs="Arial"/>
          <w:sz w:val="24"/>
          <w:szCs w:val="24"/>
          <w:lang w:val="en-US"/>
        </w:rPr>
        <w:t>installing</w:t>
      </w:r>
      <w:r w:rsidR="003622DF" w:rsidRPr="00350D9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B17AD08" w14:textId="66086342" w:rsidR="003622DF" w:rsidRPr="00350D9C" w:rsidRDefault="00E75ECA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50D9C">
        <w:rPr>
          <w:rFonts w:ascii="Arial" w:hAnsi="Arial" w:cs="Arial"/>
          <w:b/>
          <w:bCs/>
          <w:sz w:val="24"/>
          <w:szCs w:val="24"/>
          <w:u w:val="single"/>
          <w:lang w:val="en-US"/>
        </w:rPr>
        <w:t>Town Park</w:t>
      </w:r>
    </w:p>
    <w:p w14:paraId="735688CF" w14:textId="7F327686" w:rsidR="00E75ECA" w:rsidRPr="00350D9C" w:rsidRDefault="00E75ECA">
      <w:pPr>
        <w:rPr>
          <w:rFonts w:ascii="Arial" w:hAnsi="Arial" w:cs="Arial"/>
          <w:sz w:val="24"/>
          <w:szCs w:val="24"/>
          <w:lang w:val="en-US"/>
        </w:rPr>
      </w:pPr>
      <w:r w:rsidRPr="00350D9C">
        <w:rPr>
          <w:rFonts w:ascii="Arial" w:hAnsi="Arial" w:cs="Arial"/>
          <w:sz w:val="24"/>
          <w:szCs w:val="24"/>
          <w:lang w:val="en-US"/>
        </w:rPr>
        <w:t xml:space="preserve">The </w:t>
      </w:r>
      <w:r w:rsidR="00BA1FDA" w:rsidRPr="00350D9C">
        <w:rPr>
          <w:rFonts w:ascii="Arial" w:hAnsi="Arial" w:cs="Arial"/>
          <w:sz w:val="24"/>
          <w:szCs w:val="24"/>
          <w:lang w:val="en-US"/>
        </w:rPr>
        <w:t xml:space="preserve">recent Rospa inspection has rated the </w:t>
      </w:r>
      <w:r w:rsidRPr="00350D9C">
        <w:rPr>
          <w:rFonts w:ascii="Arial" w:hAnsi="Arial" w:cs="Arial"/>
          <w:sz w:val="24"/>
          <w:szCs w:val="24"/>
          <w:lang w:val="en-US"/>
        </w:rPr>
        <w:t xml:space="preserve">two rockers as a </w:t>
      </w:r>
      <w:r w:rsidR="005659D6" w:rsidRPr="00350D9C">
        <w:rPr>
          <w:rFonts w:ascii="Arial" w:hAnsi="Arial" w:cs="Arial"/>
          <w:sz w:val="24"/>
          <w:szCs w:val="24"/>
          <w:lang w:val="en-US"/>
        </w:rPr>
        <w:t>12-medium</w:t>
      </w:r>
      <w:r w:rsidRPr="00350D9C">
        <w:rPr>
          <w:rFonts w:ascii="Arial" w:hAnsi="Arial" w:cs="Arial"/>
          <w:sz w:val="24"/>
          <w:szCs w:val="24"/>
          <w:lang w:val="en-US"/>
        </w:rPr>
        <w:t xml:space="preserve"> risk</w:t>
      </w:r>
      <w:r w:rsidR="00BA1FDA" w:rsidRPr="00350D9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0D3EB10" w14:textId="77777777" w:rsidR="00E800C2" w:rsidRPr="00350D9C" w:rsidRDefault="00E75ECA">
      <w:pPr>
        <w:rPr>
          <w:rFonts w:ascii="Arial" w:hAnsi="Arial" w:cs="Arial"/>
          <w:sz w:val="24"/>
          <w:szCs w:val="24"/>
          <w:lang w:val="en-US"/>
        </w:rPr>
      </w:pPr>
      <w:r w:rsidRPr="00350D9C">
        <w:rPr>
          <w:rFonts w:ascii="Arial" w:hAnsi="Arial" w:cs="Arial"/>
          <w:sz w:val="24"/>
          <w:szCs w:val="24"/>
          <w:lang w:val="en-US"/>
        </w:rPr>
        <w:t>The working group discussed</w:t>
      </w:r>
      <w:r w:rsidR="00E800C2" w:rsidRPr="00350D9C">
        <w:rPr>
          <w:rFonts w:ascii="Arial" w:hAnsi="Arial" w:cs="Arial"/>
          <w:sz w:val="24"/>
          <w:szCs w:val="24"/>
          <w:lang w:val="en-US"/>
        </w:rPr>
        <w:t xml:space="preserve"> the following two options:</w:t>
      </w:r>
    </w:p>
    <w:p w14:paraId="587A7181" w14:textId="65D84658" w:rsidR="00E800C2" w:rsidRPr="00350D9C" w:rsidRDefault="00E800C2">
      <w:pPr>
        <w:rPr>
          <w:rFonts w:ascii="Arial" w:hAnsi="Arial" w:cs="Arial"/>
          <w:sz w:val="24"/>
          <w:szCs w:val="24"/>
          <w:lang w:val="en-US"/>
        </w:rPr>
      </w:pPr>
      <w:r w:rsidRPr="00350D9C">
        <w:rPr>
          <w:rFonts w:ascii="Arial" w:hAnsi="Arial" w:cs="Arial"/>
          <w:sz w:val="24"/>
          <w:szCs w:val="24"/>
          <w:lang w:val="en-US"/>
        </w:rPr>
        <w:t xml:space="preserve">Option 1. </w:t>
      </w:r>
      <w:r w:rsidR="00E75ECA" w:rsidRPr="00350D9C">
        <w:rPr>
          <w:rFonts w:ascii="Arial" w:hAnsi="Arial" w:cs="Arial"/>
          <w:sz w:val="24"/>
          <w:szCs w:val="24"/>
          <w:lang w:val="en-US"/>
        </w:rPr>
        <w:t xml:space="preserve"> </w:t>
      </w:r>
      <w:r w:rsidRPr="00350D9C">
        <w:rPr>
          <w:rFonts w:ascii="Arial" w:hAnsi="Arial" w:cs="Arial"/>
          <w:sz w:val="24"/>
          <w:szCs w:val="24"/>
          <w:lang w:val="en-US"/>
        </w:rPr>
        <w:t>R</w:t>
      </w:r>
      <w:r w:rsidR="00E75ECA" w:rsidRPr="00350D9C">
        <w:rPr>
          <w:rFonts w:ascii="Arial" w:hAnsi="Arial" w:cs="Arial"/>
          <w:sz w:val="24"/>
          <w:szCs w:val="24"/>
          <w:lang w:val="en-US"/>
        </w:rPr>
        <w:t xml:space="preserve">eplacing the rockers like for </w:t>
      </w:r>
      <w:r w:rsidR="005659D6" w:rsidRPr="00350D9C">
        <w:rPr>
          <w:rFonts w:ascii="Arial" w:hAnsi="Arial" w:cs="Arial"/>
          <w:sz w:val="24"/>
          <w:szCs w:val="24"/>
          <w:lang w:val="en-US"/>
        </w:rPr>
        <w:t>like.</w:t>
      </w:r>
      <w:r w:rsidR="00E75ECA" w:rsidRPr="00350D9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2D3B835" w14:textId="0961DB5E" w:rsidR="00E75ECA" w:rsidRPr="00350D9C" w:rsidRDefault="00E800C2">
      <w:pPr>
        <w:rPr>
          <w:rFonts w:ascii="Arial" w:hAnsi="Arial" w:cs="Arial"/>
          <w:sz w:val="24"/>
          <w:szCs w:val="24"/>
          <w:lang w:val="en-US"/>
        </w:rPr>
      </w:pPr>
      <w:r w:rsidRPr="00350D9C">
        <w:rPr>
          <w:rFonts w:ascii="Arial" w:hAnsi="Arial" w:cs="Arial"/>
          <w:sz w:val="24"/>
          <w:szCs w:val="24"/>
          <w:lang w:val="en-US"/>
        </w:rPr>
        <w:t>Option 2.  R</w:t>
      </w:r>
      <w:r w:rsidR="00E75ECA" w:rsidRPr="00350D9C">
        <w:rPr>
          <w:rFonts w:ascii="Arial" w:hAnsi="Arial" w:cs="Arial"/>
          <w:sz w:val="24"/>
          <w:szCs w:val="24"/>
          <w:lang w:val="en-US"/>
        </w:rPr>
        <w:t>eplacing the</w:t>
      </w:r>
      <w:r w:rsidRPr="00350D9C">
        <w:rPr>
          <w:rFonts w:ascii="Arial" w:hAnsi="Arial" w:cs="Arial"/>
          <w:sz w:val="24"/>
          <w:szCs w:val="24"/>
          <w:lang w:val="en-US"/>
        </w:rPr>
        <w:t xml:space="preserve"> rockers </w:t>
      </w:r>
      <w:r w:rsidR="00E75ECA" w:rsidRPr="00350D9C">
        <w:rPr>
          <w:rFonts w:ascii="Arial" w:hAnsi="Arial" w:cs="Arial"/>
          <w:sz w:val="24"/>
          <w:szCs w:val="24"/>
          <w:lang w:val="en-US"/>
        </w:rPr>
        <w:t>with a see saw</w:t>
      </w:r>
      <w:r w:rsidR="0015757D" w:rsidRPr="00350D9C">
        <w:rPr>
          <w:rFonts w:ascii="Arial" w:hAnsi="Arial" w:cs="Arial"/>
          <w:sz w:val="24"/>
          <w:szCs w:val="24"/>
          <w:lang w:val="en-US"/>
        </w:rPr>
        <w:t>.</w:t>
      </w:r>
    </w:p>
    <w:p w14:paraId="678702A1" w14:textId="47547DFC" w:rsidR="003622DF" w:rsidRPr="00350D9C" w:rsidRDefault="00B51E0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recommendation from the working group is Option 2.  </w:t>
      </w:r>
      <w:r w:rsidR="00350D9C" w:rsidRPr="00350D9C">
        <w:rPr>
          <w:rFonts w:ascii="Arial" w:hAnsi="Arial" w:cs="Arial"/>
          <w:sz w:val="24"/>
          <w:szCs w:val="24"/>
          <w:lang w:val="en-US"/>
        </w:rPr>
        <w:t>O</w:t>
      </w:r>
      <w:r w:rsidR="0015757D" w:rsidRPr="00350D9C">
        <w:rPr>
          <w:rFonts w:ascii="Arial" w:hAnsi="Arial" w:cs="Arial"/>
          <w:sz w:val="24"/>
          <w:szCs w:val="24"/>
          <w:lang w:val="en-US"/>
        </w:rPr>
        <w:t>nce</w:t>
      </w:r>
      <w:r w:rsidR="003622DF" w:rsidRPr="00350D9C">
        <w:rPr>
          <w:rFonts w:ascii="Arial" w:hAnsi="Arial" w:cs="Arial"/>
          <w:sz w:val="24"/>
          <w:szCs w:val="24"/>
          <w:lang w:val="en-US"/>
        </w:rPr>
        <w:t xml:space="preserve"> a decision </w:t>
      </w:r>
      <w:r w:rsidR="00C15F28" w:rsidRPr="00350D9C">
        <w:rPr>
          <w:rFonts w:ascii="Arial" w:hAnsi="Arial" w:cs="Arial"/>
          <w:sz w:val="24"/>
          <w:szCs w:val="24"/>
          <w:lang w:val="en-US"/>
        </w:rPr>
        <w:t>h</w:t>
      </w:r>
      <w:r w:rsidR="003622DF" w:rsidRPr="00350D9C">
        <w:rPr>
          <w:rFonts w:ascii="Arial" w:hAnsi="Arial" w:cs="Arial"/>
          <w:sz w:val="24"/>
          <w:szCs w:val="24"/>
          <w:lang w:val="en-US"/>
        </w:rPr>
        <w:t>as been made regarding which option to progress three quotes will be obtained.</w:t>
      </w:r>
      <w:r w:rsidR="00350D9C" w:rsidRPr="00350D9C">
        <w:rPr>
          <w:rFonts w:ascii="Arial" w:hAnsi="Arial" w:cs="Arial"/>
          <w:sz w:val="24"/>
          <w:szCs w:val="24"/>
          <w:lang w:val="en-US"/>
        </w:rPr>
        <w:t xml:space="preserve">  Funding to be from earmarked reserves.</w:t>
      </w:r>
    </w:p>
    <w:p w14:paraId="3E3CCBE8" w14:textId="77777777" w:rsidR="00350D9C" w:rsidRDefault="00350D9C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5AF72443" w14:textId="02A7B3A4" w:rsidR="003622DF" w:rsidRPr="00B51E02" w:rsidRDefault="00F823FB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B51E02">
        <w:rPr>
          <w:rFonts w:ascii="Arial" w:hAnsi="Arial" w:cs="Arial"/>
          <w:b/>
          <w:bCs/>
          <w:sz w:val="24"/>
          <w:szCs w:val="24"/>
          <w:u w:val="single"/>
          <w:lang w:val="en-US"/>
        </w:rPr>
        <w:t>FUTURE PROJECTS</w:t>
      </w:r>
    </w:p>
    <w:p w14:paraId="1555B0C3" w14:textId="734D09C0" w:rsidR="00E800C2" w:rsidRPr="00B51E02" w:rsidRDefault="003622DF">
      <w:pPr>
        <w:rPr>
          <w:rFonts w:ascii="Arial" w:hAnsi="Arial" w:cs="Arial"/>
          <w:sz w:val="24"/>
          <w:szCs w:val="24"/>
          <w:lang w:val="en-US"/>
        </w:rPr>
      </w:pPr>
      <w:r w:rsidRPr="00B51E02">
        <w:rPr>
          <w:rFonts w:ascii="Arial" w:hAnsi="Arial" w:cs="Arial"/>
          <w:sz w:val="24"/>
          <w:szCs w:val="24"/>
          <w:lang w:val="en-US"/>
        </w:rPr>
        <w:t xml:space="preserve">The working group would like to look at options to </w:t>
      </w:r>
      <w:r w:rsidR="00E800C2" w:rsidRPr="00B51E02">
        <w:rPr>
          <w:rFonts w:ascii="Arial" w:hAnsi="Arial" w:cs="Arial"/>
          <w:sz w:val="24"/>
          <w:szCs w:val="24"/>
          <w:lang w:val="en-US"/>
        </w:rPr>
        <w:t>not only update the existing play equipment on the Town Park, but to explore the option of extending the play area.</w:t>
      </w:r>
    </w:p>
    <w:p w14:paraId="3F165AD5" w14:textId="6F559F05" w:rsidR="00350D9C" w:rsidRPr="00F823FB" w:rsidRDefault="00F823FB" w:rsidP="00B51E02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F823FB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 CONSIDERATION</w:t>
      </w:r>
    </w:p>
    <w:p w14:paraId="04AF17C0" w14:textId="1271DEA8" w:rsidR="00B51E02" w:rsidRPr="00B51E02" w:rsidRDefault="00B51E02" w:rsidP="00B51E0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B51E02">
        <w:rPr>
          <w:rFonts w:ascii="Arial" w:hAnsi="Arial" w:cs="Arial"/>
          <w:sz w:val="24"/>
          <w:szCs w:val="24"/>
          <w:lang w:val="en-US"/>
        </w:rPr>
        <w:t xml:space="preserve">To consider and agree what action to take regarding the slide unit on Longlands </w:t>
      </w:r>
      <w:r w:rsidR="005659D6">
        <w:rPr>
          <w:rFonts w:ascii="Arial" w:hAnsi="Arial" w:cs="Arial"/>
          <w:sz w:val="24"/>
          <w:szCs w:val="24"/>
          <w:lang w:val="en-US"/>
        </w:rPr>
        <w:t>p</w:t>
      </w:r>
      <w:r w:rsidRPr="00B51E02">
        <w:rPr>
          <w:rFonts w:ascii="Arial" w:hAnsi="Arial" w:cs="Arial"/>
          <w:sz w:val="24"/>
          <w:szCs w:val="24"/>
          <w:lang w:val="en-US"/>
        </w:rPr>
        <w:t xml:space="preserve">lay </w:t>
      </w:r>
      <w:r w:rsidR="005659D6">
        <w:rPr>
          <w:rFonts w:ascii="Arial" w:hAnsi="Arial" w:cs="Arial"/>
          <w:sz w:val="24"/>
          <w:szCs w:val="24"/>
          <w:lang w:val="en-US"/>
        </w:rPr>
        <w:t>a</w:t>
      </w:r>
      <w:r w:rsidRPr="00B51E02">
        <w:rPr>
          <w:rFonts w:ascii="Arial" w:hAnsi="Arial" w:cs="Arial"/>
          <w:sz w:val="24"/>
          <w:szCs w:val="24"/>
          <w:lang w:val="en-US"/>
        </w:rPr>
        <w:t>rea</w:t>
      </w:r>
    </w:p>
    <w:p w14:paraId="4C2EC41E" w14:textId="5A78B230" w:rsidR="00B51E02" w:rsidRPr="00B51E02" w:rsidRDefault="00B51E02" w:rsidP="00B51E0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B51E02">
        <w:rPr>
          <w:rFonts w:ascii="Arial" w:hAnsi="Arial" w:cs="Arial"/>
          <w:sz w:val="24"/>
          <w:szCs w:val="24"/>
          <w:lang w:val="en-US"/>
        </w:rPr>
        <w:t>To consider the recommendation from the working group to replace the two rockers on the town park with a seesaw.</w:t>
      </w:r>
    </w:p>
    <w:p w14:paraId="20A1E54A" w14:textId="5E7754C5" w:rsidR="00B51E02" w:rsidRPr="00B51E02" w:rsidRDefault="00B51E02" w:rsidP="00B51E02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B51E02">
        <w:rPr>
          <w:rFonts w:ascii="Arial" w:hAnsi="Arial" w:cs="Arial"/>
          <w:sz w:val="24"/>
          <w:szCs w:val="24"/>
          <w:lang w:val="en-US"/>
        </w:rPr>
        <w:t xml:space="preserve">To consider exploring the option of extending the </w:t>
      </w:r>
      <w:r w:rsidR="005659D6">
        <w:rPr>
          <w:rFonts w:ascii="Arial" w:hAnsi="Arial" w:cs="Arial"/>
          <w:sz w:val="24"/>
          <w:szCs w:val="24"/>
          <w:lang w:val="en-US"/>
        </w:rPr>
        <w:t xml:space="preserve">Town Park </w:t>
      </w:r>
      <w:r w:rsidRPr="00B51E02">
        <w:rPr>
          <w:rFonts w:ascii="Arial" w:hAnsi="Arial" w:cs="Arial"/>
          <w:sz w:val="24"/>
          <w:szCs w:val="24"/>
          <w:lang w:val="en-US"/>
        </w:rPr>
        <w:t>play area</w:t>
      </w:r>
      <w:r w:rsidR="005659D6">
        <w:rPr>
          <w:rFonts w:ascii="Arial" w:hAnsi="Arial" w:cs="Arial"/>
          <w:sz w:val="24"/>
          <w:szCs w:val="24"/>
          <w:lang w:val="en-US"/>
        </w:rPr>
        <w:t>.</w:t>
      </w:r>
    </w:p>
    <w:p w14:paraId="7C477A50" w14:textId="77777777" w:rsidR="00B51E02" w:rsidRDefault="00B51E02">
      <w:pPr>
        <w:rPr>
          <w:rFonts w:ascii="Arial" w:hAnsi="Arial" w:cs="Arial"/>
          <w:b/>
          <w:bCs/>
          <w:u w:val="single"/>
          <w:lang w:val="en-US"/>
        </w:rPr>
      </w:pPr>
    </w:p>
    <w:p w14:paraId="4A30D010" w14:textId="3D674D89" w:rsidR="00BA1FDA" w:rsidRPr="00350D9C" w:rsidRDefault="00BA1FDA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50D9C">
        <w:rPr>
          <w:rFonts w:ascii="Arial" w:hAnsi="Arial" w:cs="Arial"/>
          <w:b/>
          <w:bCs/>
          <w:sz w:val="24"/>
          <w:szCs w:val="24"/>
          <w:u w:val="single"/>
          <w:lang w:val="en-US"/>
        </w:rPr>
        <w:t>Scoring Matrix</w:t>
      </w:r>
    </w:p>
    <w:p w14:paraId="070E5008" w14:textId="2915B822" w:rsidR="00E800C2" w:rsidRPr="00BA1FDA" w:rsidRDefault="00BA1FDA">
      <w:pPr>
        <w:rPr>
          <w:rFonts w:ascii="Arial" w:hAnsi="Arial" w:cs="Arial"/>
          <w:lang w:val="en-US"/>
        </w:rPr>
      </w:pPr>
      <w:r w:rsidRPr="00BA1FDA">
        <w:rPr>
          <w:rFonts w:ascii="Arial" w:hAnsi="Arial" w:cs="Arial"/>
          <w:noProof/>
          <w:lang w:val="en-US"/>
        </w:rPr>
        <w:drawing>
          <wp:inline distT="0" distB="0" distL="0" distR="0" wp14:anchorId="4145C279" wp14:editId="5207471F">
            <wp:extent cx="5731510" cy="3326130"/>
            <wp:effectExtent l="0" t="0" r="2540" b="7620"/>
            <wp:docPr id="844880169" name="Picture 1" descr="A chart with different colo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80169" name="Picture 1" descr="A chart with different colors and numbe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1765E" w14:textId="52728A1F" w:rsidR="00477A2B" w:rsidRPr="00BA1FDA" w:rsidRDefault="00634854" w:rsidP="00634854">
      <w:pPr>
        <w:rPr>
          <w:rFonts w:ascii="Arial" w:hAnsi="Arial" w:cs="Arial"/>
          <w:lang w:val="en-US"/>
        </w:rPr>
      </w:pPr>
      <w:r w:rsidRPr="00BA1FDA">
        <w:rPr>
          <w:rFonts w:ascii="Arial" w:hAnsi="Arial" w:cs="Arial"/>
          <w:lang w:val="en-US"/>
        </w:rPr>
        <w:tab/>
      </w:r>
    </w:p>
    <w:p w14:paraId="6C3699F3" w14:textId="77777777" w:rsidR="00634854" w:rsidRPr="00BA1FDA" w:rsidRDefault="00634854" w:rsidP="00634854">
      <w:pPr>
        <w:rPr>
          <w:rFonts w:ascii="Arial" w:hAnsi="Arial" w:cs="Arial"/>
          <w:lang w:val="en-US"/>
        </w:rPr>
      </w:pPr>
      <w:r w:rsidRPr="00BA1FDA">
        <w:rPr>
          <w:rFonts w:ascii="Arial" w:hAnsi="Arial" w:cs="Arial"/>
          <w:lang w:val="en-US"/>
        </w:rPr>
        <w:tab/>
      </w:r>
    </w:p>
    <w:p w14:paraId="7474A74E" w14:textId="77777777" w:rsidR="00634854" w:rsidRPr="00BA1FDA" w:rsidRDefault="00634854" w:rsidP="00634854">
      <w:pPr>
        <w:rPr>
          <w:rFonts w:ascii="Arial" w:hAnsi="Arial" w:cs="Arial"/>
          <w:lang w:val="en-US"/>
        </w:rPr>
      </w:pPr>
    </w:p>
    <w:p w14:paraId="262AA1C3" w14:textId="39F5BB2D" w:rsidR="00634854" w:rsidRPr="00477A2B" w:rsidRDefault="00634854" w:rsidP="00634854">
      <w:pPr>
        <w:rPr>
          <w:lang w:val="en-US"/>
        </w:rPr>
      </w:pPr>
      <w:r w:rsidRPr="00634854">
        <w:rPr>
          <w:lang w:val="en-US"/>
        </w:rPr>
        <w:tab/>
      </w:r>
    </w:p>
    <w:sectPr w:rsidR="00634854" w:rsidRPr="00477A2B" w:rsidSect="00350D9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7389"/>
    <w:multiLevelType w:val="hybridMultilevel"/>
    <w:tmpl w:val="E498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2B"/>
    <w:rsid w:val="000068DC"/>
    <w:rsid w:val="000246FC"/>
    <w:rsid w:val="0015757D"/>
    <w:rsid w:val="00350D9C"/>
    <w:rsid w:val="003622DF"/>
    <w:rsid w:val="003B4CA4"/>
    <w:rsid w:val="00477A2B"/>
    <w:rsid w:val="00485A30"/>
    <w:rsid w:val="005659D6"/>
    <w:rsid w:val="00634854"/>
    <w:rsid w:val="006905DE"/>
    <w:rsid w:val="00A22FCB"/>
    <w:rsid w:val="00AE6DC6"/>
    <w:rsid w:val="00B14A16"/>
    <w:rsid w:val="00B51E02"/>
    <w:rsid w:val="00BA1FDA"/>
    <w:rsid w:val="00C0776B"/>
    <w:rsid w:val="00C15F28"/>
    <w:rsid w:val="00C51790"/>
    <w:rsid w:val="00E75ECA"/>
    <w:rsid w:val="00E800C2"/>
    <w:rsid w:val="00EB1855"/>
    <w:rsid w:val="00F823FB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DD40"/>
  <w15:chartTrackingRefBased/>
  <w15:docId w15:val="{7E9235AA-7782-4FCF-9E3A-EFAE2F95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65"/>
  </w:style>
  <w:style w:type="paragraph" w:styleId="Heading1">
    <w:name w:val="heading 1"/>
    <w:basedOn w:val="Normal"/>
    <w:next w:val="Normal"/>
    <w:link w:val="Heading1Char"/>
    <w:uiPriority w:val="9"/>
    <w:qFormat/>
    <w:rsid w:val="00477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A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50D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BBCE-CEDF-49E0-A94C-B3DFFF97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dcterms:created xsi:type="dcterms:W3CDTF">2025-07-29T11:19:00Z</dcterms:created>
  <dcterms:modified xsi:type="dcterms:W3CDTF">2025-08-08T07:56:00Z</dcterms:modified>
</cp:coreProperties>
</file>